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A9F1" w14:textId="6BAA69DE" w:rsidR="00FD0114" w:rsidRPr="00866484" w:rsidRDefault="000E60E6" w:rsidP="00FD0114">
      <w:pPr>
        <w:jc w:val="right"/>
        <w:rPr>
          <w:rStyle w:val="11"/>
          <w:sz w:val="20"/>
          <w:szCs w:val="20"/>
        </w:rPr>
      </w:pPr>
      <w:r>
        <w:rPr>
          <w:rStyle w:val="11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05C35131" w14:textId="2BBEEBAD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3577B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0658">
              <w:rPr>
                <w:rFonts w:ascii="Times New Roman" w:hAnsi="Times New Roman" w:cs="Times New Roman"/>
                <w:sz w:val="20"/>
              </w:rPr>
              <w:t>30</w:t>
            </w:r>
            <w:r w:rsidR="00FC7A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577BC">
              <w:rPr>
                <w:rFonts w:ascii="Times New Roman" w:hAnsi="Times New Roman" w:cs="Times New Roman"/>
                <w:sz w:val="20"/>
              </w:rPr>
              <w:t>августа</w:t>
            </w:r>
            <w:r w:rsidR="005E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780F3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260658">
              <w:rPr>
                <w:rFonts w:ascii="Times New Roman" w:hAnsi="Times New Roman" w:cs="Times New Roman"/>
                <w:sz w:val="20"/>
              </w:rPr>
              <w:t>396</w:t>
            </w:r>
            <w:bookmarkStart w:id="1" w:name="_GoBack"/>
            <w:bookmarkEnd w:id="1"/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77777777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Pr="009059C4">
        <w:rPr>
          <w:rStyle w:val="11"/>
          <w:b/>
          <w:sz w:val="20"/>
          <w:szCs w:val="20"/>
        </w:rPr>
        <w:t xml:space="preserve">района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30DFF" w:rsidRPr="00866484" w14:paraId="04C48DC6" w14:textId="77777777" w:rsidTr="003902B0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71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3902B0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77777777" w:rsidR="002A2FF7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21CE7DE9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3902B0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3902B0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3902B0">
        <w:tc>
          <w:tcPr>
            <w:tcW w:w="2552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28175080" w14:textId="00F7001F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3902B0">
        <w:tc>
          <w:tcPr>
            <w:tcW w:w="2552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14:paraId="1ECE7293" w14:textId="7777777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14B8AB84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3902B0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AC3A67B" w:rsidR="00357E99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ED66CB7" w14:textId="75386748" w:rsidR="001E0906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 w:rsidR="00C378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38E619A5" w14:textId="425D0654" w:rsidR="00357E99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7D10D37C" w:rsidR="00357E99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3081F6CF" w:rsidR="000F1876" w:rsidRPr="008F7BE2" w:rsidRDefault="0011453F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7631C7FB" w:rsidR="00422FCD" w:rsidRP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  <w:highlight w:val="yellow"/>
              </w:rPr>
              <w:t>10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062EAB5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09D90E31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5A24D70C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>
              <w:rPr>
                <w:rFonts w:ascii="Times New Roman" w:hAnsi="Times New Roman" w:cs="Courier New"/>
                <w:color w:val="000000"/>
                <w:sz w:val="20"/>
              </w:rPr>
              <w:t xml:space="preserve"> (чел.)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7FEEC4F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64B64FF9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5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0F236ED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28DDE8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7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391C8F0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1DE3AF6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04090D60" w:rsidR="00357E99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занятий с органами управления и силами ГО и РСЧС входящими в 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lastRenderedPageBreak/>
              <w:t>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0F9C5B4" w14:textId="035CFEBA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D73D64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4E4C7A54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32CAAF90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D73D64">
              <w:rPr>
                <w:rFonts w:ascii="Times New Roman" w:hAnsi="Times New Roman"/>
                <w:sz w:val="20"/>
              </w:rPr>
              <w:t>проведение</w:t>
            </w:r>
            <w:r w:rsidRPr="00D73D64">
              <w:rPr>
                <w:rFonts w:ascii="Times New Roman" w:hAnsi="Times New Roman" w:cs="Times New Roman"/>
                <w:sz w:val="20"/>
              </w:rPr>
              <w:t xml:space="preserve"> мероприятий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4254EFFE" w14:textId="28D1A03F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4</w:t>
            </w:r>
            <w:r w:rsidR="00357E99"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05FCFE7E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230D9577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3A8C77B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7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565FE67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4D2BBF32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6E250CA0" w:rsid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7D420B92" w:rsidR="00FE58E0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31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755ACE19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48C43310" w:rsidR="00004115" w:rsidRPr="003654B3" w:rsidRDefault="00326EA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004115"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(ед.)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715CA09" w14:textId="3BAE66FD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(кбм)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9F48BF7" w14:textId="3A0E03D9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5AA74A0" w14:textId="61543314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037D73B" w14:textId="6B72A17D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DA27615" w14:textId="44625DCA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F23BB8B" w14:textId="10AB61FF" w:rsidR="005E425F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8BFAB9B" w14:textId="07A4F434" w:rsidR="003140D8" w:rsidRPr="008F7BE2" w:rsidRDefault="0011453F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40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5E425F" w:rsidRPr="003654B3"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2976C00D" w14:textId="77777777" w:rsidTr="003902B0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3902B0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</w:tcPr>
          <w:p w14:paraId="1691A5E7" w14:textId="193B1939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69 502,136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5F0DFAD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25 702,571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10CA6BA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14 748,581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7CA3ABE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64A97" w:rsidRPr="00D64A97">
              <w:rPr>
                <w:rFonts w:ascii="Times New Roman" w:hAnsi="Times New Roman" w:cs="Times New Roman"/>
                <w:sz w:val="20"/>
              </w:rPr>
              <w:t>1</w:t>
            </w:r>
            <w:r w:rsidR="005336FE">
              <w:rPr>
                <w:rFonts w:ascii="Times New Roman" w:hAnsi="Times New Roman" w:cs="Times New Roman"/>
                <w:sz w:val="20"/>
              </w:rPr>
              <w:t>2 9</w:t>
            </w:r>
            <w:r w:rsidR="00D56A11">
              <w:rPr>
                <w:rFonts w:ascii="Times New Roman" w:hAnsi="Times New Roman" w:cs="Times New Roman"/>
                <w:sz w:val="20"/>
              </w:rPr>
              <w:t>07</w:t>
            </w:r>
            <w:r w:rsidR="005336FE">
              <w:rPr>
                <w:rFonts w:ascii="Times New Roman" w:hAnsi="Times New Roman" w:cs="Times New Roman"/>
                <w:sz w:val="20"/>
              </w:rPr>
              <w:t>,</w:t>
            </w:r>
            <w:r w:rsidR="00D56A11">
              <w:rPr>
                <w:rFonts w:ascii="Times New Roman" w:hAnsi="Times New Roman" w:cs="Times New Roman"/>
                <w:sz w:val="20"/>
              </w:rPr>
              <w:t>059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05DE8E7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49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615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DB4652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</w:t>
            </w:r>
            <w:r w:rsidR="0059677D">
              <w:rPr>
                <w:rFonts w:ascii="Times New Roman" w:hAnsi="Times New Roman"/>
                <w:sz w:val="20"/>
                <w:szCs w:val="20"/>
              </w:rPr>
              <w:t>2,643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3902B0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461F0F79" w:rsidR="008F7BE2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30A16FFF" w14:textId="6B2D1A3A" w:rsidR="00C378FF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A6271C6" w14:textId="7FD7A8D5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14750FAB" w:rsidR="00C23154" w:rsidRDefault="00C378FF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МР «Княжпогостский» на 20%;</w:t>
            </w:r>
          </w:p>
          <w:p w14:paraId="6764D508" w14:textId="0B979640" w:rsidR="000F1876" w:rsidRPr="00120D61" w:rsidRDefault="00C378FF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F18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74A9A470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10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49CA3E5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446D6C4E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2DA103B6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B5D798E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10FEF8C9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7256997A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6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7671ABCD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35C2309F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4C824950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6580FB44" w:rsidR="008F7BE2" w:rsidRDefault="002730E4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3BBBF3A7" w14:textId="0FDDCC2B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1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344C4AD6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E9692A">
              <w:rPr>
                <w:rFonts w:ascii="Times New Roman" w:hAnsi="Times New Roman" w:cs="Times New Roman"/>
                <w:sz w:val="20"/>
              </w:rPr>
              <w:lastRenderedPageBreak/>
              <w:t>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6DDFCCFB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E4BA8E3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  <w:highlight w:val="yellow"/>
              </w:rPr>
              <w:t>4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7C68312B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7CBBD94C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14501936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44B6E347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45E09739" w:rsidR="0051282D" w:rsidRPr="00120D61" w:rsidRDefault="00C22892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2CF5D15A" w14:textId="0E271E26" w:rsidR="0051282D" w:rsidRDefault="002730E4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  <w:p w14:paraId="57449D5F" w14:textId="0CB1EE8C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5B54B745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sz w:val="20"/>
              </w:rPr>
              <w:t>2</w:t>
            </w:r>
            <w:r>
              <w:rPr>
                <w:rFonts w:ascii="Times New Roman" w:hAnsi="Times New Roman" w:cs="Courier New"/>
                <w:sz w:val="20"/>
              </w:rPr>
              <w:t xml:space="preserve">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2CD95AC6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2730E4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1C6EBE02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386AB7FF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2EDC79E6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5746F36F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0B4428D0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7DB3CCDB" w:rsidR="00F9394F" w:rsidRPr="002564FF" w:rsidRDefault="003654B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5CE086FF" w:rsidR="00004115" w:rsidRPr="00866484" w:rsidRDefault="002730E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004115"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="00004115"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6D36D6F4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>ального района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7A9F4BB5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района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</w:t>
      </w:r>
      <w:r w:rsidRPr="003654B3">
        <w:rPr>
          <w:rFonts w:ascii="Times New Roman" w:hAnsi="Times New Roman"/>
          <w:sz w:val="20"/>
        </w:rPr>
        <w:lastRenderedPageBreak/>
        <w:t>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4135F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41B69BA3" w:rsidR="00815AFF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B4C0748" w14:textId="77777777" w:rsidR="009F2CC8" w:rsidRPr="008F7BE2" w:rsidRDefault="009F2CC8" w:rsidP="009F2C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2F359E" w14:textId="2A0C2A06" w:rsidR="00CC1E5A" w:rsidRPr="000F6272" w:rsidRDefault="009F2CC8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7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4A107A0C" w:rsidR="000F1876" w:rsidRDefault="009F2CC8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711864B3" w:rsidR="00230DFF" w:rsidRPr="00866484" w:rsidRDefault="009F2CC8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0F1876">
              <w:rPr>
                <w:rFonts w:ascii="Times New Roman" w:hAnsi="Times New Roman"/>
                <w:sz w:val="20"/>
              </w:rPr>
              <w:t>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29FE1A1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13 153,373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53AB9EE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1 454,593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3CBC2D6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794,111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082FB1F8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1 297,100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640A589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44B85A70" w14:textId="4A026964" w:rsidR="009F2CC8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;</w:t>
            </w:r>
          </w:p>
          <w:p w14:paraId="4F242064" w14:textId="77777777" w:rsidR="009F2CC8" w:rsidRPr="00120D61" w:rsidRDefault="009F2CC8" w:rsidP="009F2CC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A409D3" w14:textId="43339557" w:rsidR="006F255E" w:rsidRPr="008F7BE2" w:rsidRDefault="009F2CC8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4CA49303" w:rsidR="000F1876" w:rsidRDefault="009F2CC8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8)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</w:p>
          <w:p w14:paraId="38A37DBF" w14:textId="2E62AF86" w:rsidR="005A1D07" w:rsidRPr="008F7BE2" w:rsidRDefault="009F2CC8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9</w:t>
            </w:r>
            <w:r w:rsidR="000F1876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1 ед.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4135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4135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14C78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66A0288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4 2</w:t>
            </w:r>
            <w:r w:rsidR="00314F2C">
              <w:rPr>
                <w:rFonts w:ascii="Times New Roman" w:hAnsi="Times New Roman"/>
                <w:sz w:val="20"/>
                <w:szCs w:val="20"/>
              </w:rPr>
              <w:t>25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8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19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1AFF062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</w:t>
            </w:r>
            <w:r w:rsidR="00314F2C">
              <w:rPr>
                <w:rFonts w:ascii="Times New Roman" w:hAnsi="Times New Roman"/>
                <w:sz w:val="20"/>
                <w:szCs w:val="20"/>
              </w:rPr>
              <w:t>28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36</w:t>
            </w:r>
            <w:r w:rsidR="003577BC">
              <w:rPr>
                <w:rFonts w:ascii="Times New Roman" w:hAnsi="Times New Roman"/>
                <w:sz w:val="20"/>
                <w:szCs w:val="20"/>
              </w:rPr>
              <w:t>4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7B25DAB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836,572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2C284A9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</w:t>
            </w:r>
            <w:r w:rsidR="00314F2C">
              <w:rPr>
                <w:rFonts w:ascii="Times New Roman" w:hAnsi="Times New Roman"/>
                <w:sz w:val="20"/>
                <w:szCs w:val="20"/>
              </w:rPr>
              <w:t> </w:t>
            </w:r>
            <w:r w:rsidR="002365AE">
              <w:rPr>
                <w:rFonts w:ascii="Times New Roman" w:hAnsi="Times New Roman"/>
                <w:sz w:val="20"/>
                <w:szCs w:val="20"/>
              </w:rPr>
              <w:t>0</w:t>
            </w:r>
            <w:r w:rsidR="00314F2C">
              <w:rPr>
                <w:rFonts w:ascii="Times New Roman" w:hAnsi="Times New Roman"/>
                <w:sz w:val="20"/>
                <w:szCs w:val="20"/>
              </w:rPr>
              <w:t>35,492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35635DC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F2C">
              <w:rPr>
                <w:rFonts w:ascii="Times New Roman" w:hAnsi="Times New Roman"/>
                <w:sz w:val="20"/>
                <w:szCs w:val="20"/>
              </w:rPr>
              <w:t>197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019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01C6191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201,943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льтаты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18FD559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4135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3F766909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866484" w14:paraId="6EBE612D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4E37B734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 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2" w:name="bookmark5"/>
      <w:bookmarkEnd w:id="2"/>
    </w:p>
    <w:p w14:paraId="2C0B4CF1" w14:textId="55B3F6DE" w:rsidR="00B4737D" w:rsidRDefault="004135F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4B220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1AFD2AF7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D246BC5" w14:textId="30082AA7" w:rsidR="002A1F95" w:rsidRDefault="002A1F95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51D68">
              <w:rPr>
                <w:rFonts w:ascii="Times New Roman" w:hAnsi="Times New Roman" w:cs="Courier New"/>
                <w:sz w:val="20"/>
              </w:rPr>
              <w:t xml:space="preserve">5)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77777777" w:rsidR="00851D68" w:rsidRDefault="002A1F95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2E360383" w:rsidR="00192498" w:rsidRPr="00851D68" w:rsidRDefault="00851D6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451C819C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3572E">
              <w:rPr>
                <w:rFonts w:ascii="Times New Roman" w:hAnsi="Times New Roman" w:cs="Times New Roman"/>
                <w:sz w:val="20"/>
                <w:szCs w:val="20"/>
              </w:rPr>
              <w:t>3 632</w:t>
            </w:r>
            <w:r w:rsidR="006E6E96" w:rsidRPr="006E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72E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66D156CD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1 266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6B05044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55FA97C0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99C903F" w14:textId="1253DEC3" w:rsidR="002A1F95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5)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7777777" w:rsidR="00851D68" w:rsidRDefault="002A1F95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77777777" w:rsidR="00E64A91" w:rsidRDefault="00851D68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61199A01" w:rsidR="004733A5" w:rsidRPr="00192498" w:rsidRDefault="00E64A91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4135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21E4A7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819CC93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2D9ED20C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4135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77777777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19D7CC5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CA3570">
              <w:rPr>
                <w:rFonts w:ascii="Times New Roman" w:hAnsi="Times New Roman"/>
                <w:sz w:val="20"/>
                <w:szCs w:val="20"/>
              </w:rPr>
              <w:t>7 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108</w:t>
            </w:r>
            <w:r w:rsidR="00CA3570">
              <w:rPr>
                <w:rFonts w:ascii="Times New Roman" w:hAnsi="Times New Roman"/>
                <w:sz w:val="20"/>
                <w:szCs w:val="20"/>
              </w:rPr>
              <w:t>,</w:t>
            </w:r>
            <w:r w:rsidR="003577BC">
              <w:rPr>
                <w:rFonts w:ascii="Times New Roman" w:hAnsi="Times New Roman"/>
                <w:sz w:val="20"/>
                <w:szCs w:val="20"/>
              </w:rPr>
              <w:t>342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4512FA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4</w:t>
            </w:r>
            <w:r w:rsidR="003577BC">
              <w:rPr>
                <w:rFonts w:ascii="Times New Roman" w:hAnsi="Times New Roman"/>
                <w:sz w:val="20"/>
                <w:szCs w:val="20"/>
              </w:rPr>
              <w:t> 336,390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54C4F25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2 384, 280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3C2340EF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бюджете Республики Коми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74,467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336D22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F2D25D3" w14:textId="77777777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охватить работой по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F1CDE39" w14:textId="77777777" w:rsidR="003902B0" w:rsidRDefault="003902B0" w:rsidP="003902B0">
      <w:pPr>
        <w:jc w:val="center"/>
      </w:pPr>
    </w:p>
    <w:p w14:paraId="0B9562C0" w14:textId="77777777" w:rsidR="00FE03D1" w:rsidRPr="00223D1B" w:rsidRDefault="004135F4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877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223D1B">
              <w:rPr>
                <w:rFonts w:ascii="Times New Roman" w:hAnsi="Times New Roman"/>
                <w:sz w:val="20"/>
              </w:rPr>
              <w:t>Отдел по делам гражданской обороны и чрезвычайным ситуациям администрации муниципального района «Княжпогостский»;</w:t>
            </w:r>
          </w:p>
          <w:p w14:paraId="689EA84D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Times New Roman"/>
                <w:sz w:val="20"/>
              </w:rPr>
              <w:t>Органы местного самоуправления МР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47FEA6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субботников;</w:t>
            </w:r>
          </w:p>
          <w:p w14:paraId="03830AE9" w14:textId="1B3795B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отходов;</w:t>
            </w:r>
          </w:p>
          <w:p w14:paraId="55463F4C" w14:textId="3E7822A4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собранных;</w:t>
            </w:r>
          </w:p>
          <w:p w14:paraId="02F7185C" w14:textId="0D0F8B1F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свалок;</w:t>
            </w:r>
          </w:p>
          <w:p w14:paraId="5C6E3B6A" w14:textId="45AD4165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бюджет";</w:t>
            </w:r>
          </w:p>
          <w:p w14:paraId="0BEA41FB" w14:textId="6089B621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территорий;</w:t>
            </w:r>
          </w:p>
          <w:p w14:paraId="34F1F6F4" w14:textId="4A2DCEA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поселениях;</w:t>
            </w:r>
          </w:p>
          <w:p w14:paraId="56BEB31F" w14:textId="64F0FD4E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2021 - 2025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1AB86FCF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7 в 2021 - 2025 годах за счет всех источников финансирования составляет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31 381,816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1D7E41D8" w14:textId="0EB9D3D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430EFF8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17</w:t>
            </w:r>
            <w:r w:rsidR="00F426BB">
              <w:rPr>
                <w:rFonts w:ascii="Times New Roman" w:hAnsi="Times New Roman"/>
                <w:sz w:val="20"/>
                <w:szCs w:val="20"/>
              </w:rPr>
              <w:t> 817,224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03919D78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F426BB">
              <w:rPr>
                <w:rFonts w:ascii="Times New Roman" w:hAnsi="Times New Roman"/>
                <w:sz w:val="20"/>
                <w:szCs w:val="20"/>
              </w:rPr>
              <w:t>10 233,618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12B2FC6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1435460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3140D8">
        <w:trPr>
          <w:trHeight w:val="177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5E5E1C0A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3902B0">
      <w:pgSz w:w="11906" w:h="16838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9C950" w14:textId="77777777" w:rsidR="004135F4" w:rsidRDefault="004135F4" w:rsidP="00230DFF">
      <w:r>
        <w:separator/>
      </w:r>
    </w:p>
  </w:endnote>
  <w:endnote w:type="continuationSeparator" w:id="0">
    <w:p w14:paraId="005696F7" w14:textId="77777777" w:rsidR="004135F4" w:rsidRDefault="004135F4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77FA" w14:textId="77777777" w:rsidR="004135F4" w:rsidRDefault="004135F4" w:rsidP="00230DFF">
      <w:r>
        <w:separator/>
      </w:r>
    </w:p>
  </w:footnote>
  <w:footnote w:type="continuationSeparator" w:id="0">
    <w:p w14:paraId="79C52FE8" w14:textId="77777777" w:rsidR="004135F4" w:rsidRDefault="004135F4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86133"/>
    <w:rsid w:val="000A1CEE"/>
    <w:rsid w:val="000A5536"/>
    <w:rsid w:val="000A7344"/>
    <w:rsid w:val="000B0CE4"/>
    <w:rsid w:val="000B275D"/>
    <w:rsid w:val="000B287C"/>
    <w:rsid w:val="000B2ED3"/>
    <w:rsid w:val="000B4B89"/>
    <w:rsid w:val="000C6D9E"/>
    <w:rsid w:val="000D7F6B"/>
    <w:rsid w:val="000E236F"/>
    <w:rsid w:val="000E4B43"/>
    <w:rsid w:val="000E60E6"/>
    <w:rsid w:val="000E67D8"/>
    <w:rsid w:val="000F1876"/>
    <w:rsid w:val="000F6272"/>
    <w:rsid w:val="0011453F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2"/>
    <w:rsid w:val="0015284A"/>
    <w:rsid w:val="00160892"/>
    <w:rsid w:val="00161FD2"/>
    <w:rsid w:val="00162C14"/>
    <w:rsid w:val="00171331"/>
    <w:rsid w:val="001731E1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4EDB"/>
    <w:rsid w:val="001C3295"/>
    <w:rsid w:val="001D0916"/>
    <w:rsid w:val="001D53AB"/>
    <w:rsid w:val="001D5AD3"/>
    <w:rsid w:val="001E0906"/>
    <w:rsid w:val="00201B9C"/>
    <w:rsid w:val="00204F16"/>
    <w:rsid w:val="00205379"/>
    <w:rsid w:val="00205F0C"/>
    <w:rsid w:val="00205FC0"/>
    <w:rsid w:val="0022286A"/>
    <w:rsid w:val="00224AED"/>
    <w:rsid w:val="00230DFF"/>
    <w:rsid w:val="002365AE"/>
    <w:rsid w:val="00240D9F"/>
    <w:rsid w:val="00243EB6"/>
    <w:rsid w:val="002564FF"/>
    <w:rsid w:val="00260658"/>
    <w:rsid w:val="002638F0"/>
    <w:rsid w:val="002667A0"/>
    <w:rsid w:val="002730E4"/>
    <w:rsid w:val="002734D1"/>
    <w:rsid w:val="0027385B"/>
    <w:rsid w:val="002767BC"/>
    <w:rsid w:val="002845D1"/>
    <w:rsid w:val="00284C94"/>
    <w:rsid w:val="002A1A01"/>
    <w:rsid w:val="002A1F95"/>
    <w:rsid w:val="002A2FF7"/>
    <w:rsid w:val="002C05BE"/>
    <w:rsid w:val="002C2D67"/>
    <w:rsid w:val="002D4870"/>
    <w:rsid w:val="002D51D3"/>
    <w:rsid w:val="002E6612"/>
    <w:rsid w:val="002E793A"/>
    <w:rsid w:val="002F430F"/>
    <w:rsid w:val="00300326"/>
    <w:rsid w:val="003045C6"/>
    <w:rsid w:val="0031082F"/>
    <w:rsid w:val="0031098A"/>
    <w:rsid w:val="003140D8"/>
    <w:rsid w:val="00314F2C"/>
    <w:rsid w:val="00326EAF"/>
    <w:rsid w:val="003326CB"/>
    <w:rsid w:val="00340BDA"/>
    <w:rsid w:val="003434B4"/>
    <w:rsid w:val="00353103"/>
    <w:rsid w:val="00355F05"/>
    <w:rsid w:val="003577BC"/>
    <w:rsid w:val="00357E99"/>
    <w:rsid w:val="00363A0B"/>
    <w:rsid w:val="003654B3"/>
    <w:rsid w:val="00370F18"/>
    <w:rsid w:val="003722D6"/>
    <w:rsid w:val="00376671"/>
    <w:rsid w:val="003868F8"/>
    <w:rsid w:val="00387272"/>
    <w:rsid w:val="003902B0"/>
    <w:rsid w:val="003910C2"/>
    <w:rsid w:val="003A1678"/>
    <w:rsid w:val="003A4D8E"/>
    <w:rsid w:val="003B2EA9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135F4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5C0D"/>
    <w:rsid w:val="004F4BA6"/>
    <w:rsid w:val="00510360"/>
    <w:rsid w:val="0051282D"/>
    <w:rsid w:val="00520458"/>
    <w:rsid w:val="0052453B"/>
    <w:rsid w:val="00531261"/>
    <w:rsid w:val="005336FE"/>
    <w:rsid w:val="0055123D"/>
    <w:rsid w:val="005533DC"/>
    <w:rsid w:val="00563B84"/>
    <w:rsid w:val="00564AE1"/>
    <w:rsid w:val="00570CCE"/>
    <w:rsid w:val="00581F94"/>
    <w:rsid w:val="00586376"/>
    <w:rsid w:val="00586F76"/>
    <w:rsid w:val="0059677D"/>
    <w:rsid w:val="005A1D07"/>
    <w:rsid w:val="005A38E6"/>
    <w:rsid w:val="005B6CDA"/>
    <w:rsid w:val="005C121E"/>
    <w:rsid w:val="005C1C94"/>
    <w:rsid w:val="005C3262"/>
    <w:rsid w:val="005C58C6"/>
    <w:rsid w:val="005D1F45"/>
    <w:rsid w:val="005E2899"/>
    <w:rsid w:val="005E425F"/>
    <w:rsid w:val="005F5DE6"/>
    <w:rsid w:val="00603617"/>
    <w:rsid w:val="0060547E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E6E96"/>
    <w:rsid w:val="006F255E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BEF"/>
    <w:rsid w:val="00835CD4"/>
    <w:rsid w:val="00841370"/>
    <w:rsid w:val="00842C81"/>
    <w:rsid w:val="008466A9"/>
    <w:rsid w:val="00851D68"/>
    <w:rsid w:val="0085432E"/>
    <w:rsid w:val="00866484"/>
    <w:rsid w:val="008737B7"/>
    <w:rsid w:val="0087573A"/>
    <w:rsid w:val="008765B3"/>
    <w:rsid w:val="00880C8B"/>
    <w:rsid w:val="008837CC"/>
    <w:rsid w:val="00886C33"/>
    <w:rsid w:val="00891173"/>
    <w:rsid w:val="00892283"/>
    <w:rsid w:val="008A2B00"/>
    <w:rsid w:val="008B19DD"/>
    <w:rsid w:val="008B327B"/>
    <w:rsid w:val="008C4BE6"/>
    <w:rsid w:val="008D1AFE"/>
    <w:rsid w:val="008D312C"/>
    <w:rsid w:val="008E0671"/>
    <w:rsid w:val="008E10DD"/>
    <w:rsid w:val="008E3C3A"/>
    <w:rsid w:val="008F28C9"/>
    <w:rsid w:val="008F3343"/>
    <w:rsid w:val="008F7BE2"/>
    <w:rsid w:val="00904BED"/>
    <w:rsid w:val="009059C4"/>
    <w:rsid w:val="0090648F"/>
    <w:rsid w:val="00914488"/>
    <w:rsid w:val="00915CC9"/>
    <w:rsid w:val="00937B98"/>
    <w:rsid w:val="00944F9B"/>
    <w:rsid w:val="009451B6"/>
    <w:rsid w:val="009535B2"/>
    <w:rsid w:val="00956113"/>
    <w:rsid w:val="00961A07"/>
    <w:rsid w:val="00970EF1"/>
    <w:rsid w:val="0098047B"/>
    <w:rsid w:val="00982124"/>
    <w:rsid w:val="00983C73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F0430"/>
    <w:rsid w:val="009F2CC8"/>
    <w:rsid w:val="009F3FDD"/>
    <w:rsid w:val="00A002CE"/>
    <w:rsid w:val="00A0262B"/>
    <w:rsid w:val="00A038C3"/>
    <w:rsid w:val="00A05FAB"/>
    <w:rsid w:val="00A06BAF"/>
    <w:rsid w:val="00A10EAD"/>
    <w:rsid w:val="00A25408"/>
    <w:rsid w:val="00A32C0C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798B"/>
    <w:rsid w:val="00AD44E1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2205"/>
    <w:rsid w:val="00BA4E26"/>
    <w:rsid w:val="00BB3AB8"/>
    <w:rsid w:val="00BB560E"/>
    <w:rsid w:val="00BD21A2"/>
    <w:rsid w:val="00BD6F8D"/>
    <w:rsid w:val="00BE2188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6F83"/>
    <w:rsid w:val="00C378FF"/>
    <w:rsid w:val="00C40399"/>
    <w:rsid w:val="00C64548"/>
    <w:rsid w:val="00C67A52"/>
    <w:rsid w:val="00C7287B"/>
    <w:rsid w:val="00C74319"/>
    <w:rsid w:val="00C869E9"/>
    <w:rsid w:val="00CA3570"/>
    <w:rsid w:val="00CA7EBD"/>
    <w:rsid w:val="00CB279D"/>
    <w:rsid w:val="00CB722F"/>
    <w:rsid w:val="00CC0994"/>
    <w:rsid w:val="00CC1E5A"/>
    <w:rsid w:val="00CC7D1B"/>
    <w:rsid w:val="00CD05C3"/>
    <w:rsid w:val="00CD4721"/>
    <w:rsid w:val="00CE0CA7"/>
    <w:rsid w:val="00CE2C7D"/>
    <w:rsid w:val="00CE3DE8"/>
    <w:rsid w:val="00CE4321"/>
    <w:rsid w:val="00CE5008"/>
    <w:rsid w:val="00CF220E"/>
    <w:rsid w:val="00CF5CB1"/>
    <w:rsid w:val="00D021DD"/>
    <w:rsid w:val="00D056A6"/>
    <w:rsid w:val="00D06CBC"/>
    <w:rsid w:val="00D3286E"/>
    <w:rsid w:val="00D32BB0"/>
    <w:rsid w:val="00D403A4"/>
    <w:rsid w:val="00D56A11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E04A4"/>
    <w:rsid w:val="00DE0C7A"/>
    <w:rsid w:val="00DE771E"/>
    <w:rsid w:val="00DF1D6C"/>
    <w:rsid w:val="00DF391B"/>
    <w:rsid w:val="00E07D4B"/>
    <w:rsid w:val="00E22790"/>
    <w:rsid w:val="00E317FC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21892"/>
    <w:rsid w:val="00F37C76"/>
    <w:rsid w:val="00F426BB"/>
    <w:rsid w:val="00F444C1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CC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7770</Words>
  <Characters>44290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111</cp:revision>
  <cp:lastPrinted>2024-08-30T07:44:00Z</cp:lastPrinted>
  <dcterms:created xsi:type="dcterms:W3CDTF">2022-11-03T12:35:00Z</dcterms:created>
  <dcterms:modified xsi:type="dcterms:W3CDTF">2024-08-30T07:45:00Z</dcterms:modified>
</cp:coreProperties>
</file>