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DC" w:rsidRPr="00880CB9" w:rsidRDefault="00F513DC" w:rsidP="00F5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1BBAA" wp14:editId="1F092A2C">
                <wp:simplePos x="0" y="0"/>
                <wp:positionH relativeFrom="column">
                  <wp:posOffset>3510915</wp:posOffset>
                </wp:positionH>
                <wp:positionV relativeFrom="paragraph">
                  <wp:posOffset>175260</wp:posOffset>
                </wp:positionV>
                <wp:extent cx="2606040" cy="942975"/>
                <wp:effectExtent l="0" t="0" r="2286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3DC" w:rsidRPr="006B7102" w:rsidRDefault="00F513DC" w:rsidP="00F513D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F513DC" w:rsidRPr="006B7102" w:rsidRDefault="00F513DC" w:rsidP="00F513D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F513DC" w:rsidRPr="006B7102" w:rsidRDefault="00F513DC" w:rsidP="00F513D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6.45pt;margin-top:13.8pt;width:205.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" strokecolor="white">
                <v:textbox>
                  <w:txbxContent>
                    <w:p w:rsidR="00F513DC" w:rsidRPr="006B7102" w:rsidRDefault="00F513DC" w:rsidP="00F513D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F513DC" w:rsidRPr="006B7102" w:rsidRDefault="00F513DC" w:rsidP="00F513D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F513DC" w:rsidRPr="006B7102" w:rsidRDefault="00F513DC" w:rsidP="00F513D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DA3A36A" wp14:editId="49C0F3A5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571500" cy="6858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3DC" w:rsidRPr="00880CB9" w:rsidRDefault="00F513DC" w:rsidP="00F5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B5329" wp14:editId="55322043">
                <wp:simplePos x="0" y="0"/>
                <wp:positionH relativeFrom="column">
                  <wp:posOffset>-270510</wp:posOffset>
                </wp:positionH>
                <wp:positionV relativeFrom="paragraph">
                  <wp:posOffset>8890</wp:posOffset>
                </wp:positionV>
                <wp:extent cx="2758440" cy="819150"/>
                <wp:effectExtent l="0" t="0" r="2286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3DC" w:rsidRPr="006B7102" w:rsidRDefault="00F513DC" w:rsidP="00F513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B71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F513DC" w:rsidRPr="006B7102" w:rsidRDefault="00F513DC" w:rsidP="00F513DC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МУНИЦИПАЛЬНŐЙ КЫТШЛÖН АДМИНИСТРАЦИЯ</w:t>
                            </w:r>
                          </w:p>
                          <w:p w:rsidR="00F513DC" w:rsidRPr="00880CB9" w:rsidRDefault="00F513DC" w:rsidP="00F513D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21.3pt;margin-top:.7pt;width:217.2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" strokecolor="white">
                <v:textbox>
                  <w:txbxContent>
                    <w:p w:rsidR="00F513DC" w:rsidRPr="006B7102" w:rsidRDefault="00F513DC" w:rsidP="00F513D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6B71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 xml:space="preserve">«КНЯЖПОГОСТ» </w:t>
                      </w:r>
                    </w:p>
                    <w:p w:rsidR="00F513DC" w:rsidRPr="006B7102" w:rsidRDefault="00F513DC" w:rsidP="00F513DC">
                      <w:pPr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МУНИЦИПАЛЬНŐЙ КЫТШЛÖН АДМИНИСТРАЦИЯ</w:t>
                      </w:r>
                    </w:p>
                    <w:p w:rsidR="00F513DC" w:rsidRPr="00880CB9" w:rsidRDefault="00F513DC" w:rsidP="00F513D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13DC" w:rsidRPr="00880CB9" w:rsidRDefault="00F513DC" w:rsidP="00F5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13DC" w:rsidRPr="00880CB9" w:rsidRDefault="00F513DC" w:rsidP="00F51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13DC" w:rsidRPr="00880CB9" w:rsidRDefault="00F513DC" w:rsidP="00F51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2F2E" w:rsidRPr="00865089" w:rsidRDefault="00502F2E" w:rsidP="00F5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13DC" w:rsidRPr="00865089" w:rsidRDefault="00F513DC" w:rsidP="00F5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650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F513DC" w:rsidRPr="00865089" w:rsidRDefault="00F513DC" w:rsidP="00F513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3DC" w:rsidRPr="00865089" w:rsidRDefault="00F513DC" w:rsidP="00F513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502F2E" w:rsidRPr="0086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 декабря </w:t>
      </w:r>
      <w:r w:rsidRPr="0086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2024г.                                                                                    </w:t>
      </w:r>
      <w:r w:rsidR="00502F2E" w:rsidRPr="0086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86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№ </w:t>
      </w:r>
      <w:r w:rsidR="00502F2E" w:rsidRPr="0086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178</w:t>
      </w:r>
    </w:p>
    <w:p w:rsidR="00F513DC" w:rsidRPr="00865089" w:rsidRDefault="00F513D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3DC" w:rsidRPr="00865089" w:rsidRDefault="00F513D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F2E" w:rsidRPr="00865089" w:rsidRDefault="00F513D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формирования</w:t>
      </w:r>
    </w:p>
    <w:p w:rsidR="00F513DC" w:rsidRPr="00865089" w:rsidRDefault="00F513D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реестра источников доходов</w:t>
      </w:r>
    </w:p>
    <w:p w:rsidR="00F513DC" w:rsidRPr="00865089" w:rsidRDefault="00F513D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3DC" w:rsidRPr="00865089" w:rsidRDefault="00F513D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6">
        <w:r w:rsidRPr="008650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47.1</w:t>
        </w:r>
      </w:hyperlink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</w:t>
      </w:r>
      <w:hyperlink r:id="rId7">
        <w:r w:rsidRPr="008650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31 августа 2016 года № 868 «О порядке формирования и ведения перечня источников доходов Российской Федерации», в целях учета источников доходов бюджета муниципального округа «Княжпогостский» </w:t>
      </w:r>
    </w:p>
    <w:p w:rsidR="00502F2E" w:rsidRPr="00865089" w:rsidRDefault="00502F2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3DC" w:rsidRPr="00865089" w:rsidRDefault="00502F2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</w:t>
      </w:r>
      <w:r w:rsidR="00F513DC"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513DC" w:rsidRPr="00865089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hyperlink w:anchor="P35">
        <w:r w:rsidRPr="008650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и ведения реестра источников доходов бюджета муниципального округа «Княжпогостский» согласно приложению к настоящему постановлению.</w:t>
      </w:r>
    </w:p>
    <w:p w:rsidR="00F513DC" w:rsidRPr="00865089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 утратившим силу </w:t>
      </w:r>
      <w:hyperlink r:id="rId8">
        <w:r w:rsidRPr="008650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муниципального </w:t>
      </w:r>
      <w:r w:rsidR="00502F2E"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«Княжпогостский» от 04.12.2017 № 477 «Об утвержде</w:t>
      </w:r>
      <w:bookmarkStart w:id="0" w:name="_GoBack"/>
      <w:bookmarkEnd w:id="0"/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>нии порядка формирования и ведения реестра источников доходов муниципального образования муниципального округа «Княжпогостский».</w:t>
      </w:r>
    </w:p>
    <w:p w:rsidR="00F513DC" w:rsidRPr="00865089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502F2E" w:rsidRPr="00865089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принятия, и распространяет свое действие на правоотношения, возникшие с 1 января 2025 года</w:t>
      </w:r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13DC" w:rsidRPr="00865089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Контроль за исполнение настоящего постановления возложить на первого заместителя руководителя администрации муниципального округа «Княжпогостский» М.В. </w:t>
      </w:r>
      <w:proofErr w:type="spellStart"/>
      <w:r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>Ховрина</w:t>
      </w:r>
      <w:proofErr w:type="spellEnd"/>
      <w:r w:rsidR="00865089" w:rsidRPr="008650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13DC" w:rsidRPr="00865089" w:rsidRDefault="00F513D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3DC" w:rsidRPr="00865089" w:rsidRDefault="00F513DC" w:rsidP="00F513D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F2E" w:rsidRPr="00502F2E" w:rsidRDefault="00502F2E" w:rsidP="00F513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>Г</w:t>
      </w:r>
      <w:r w:rsidR="00F513DC" w:rsidRPr="00502F2E">
        <w:rPr>
          <w:rFonts w:ascii="Times New Roman" w:hAnsi="Times New Roman" w:cs="Times New Roman"/>
          <w:sz w:val="24"/>
          <w:szCs w:val="24"/>
        </w:rPr>
        <w:t>лав</w:t>
      </w:r>
      <w:r w:rsidRPr="00502F2E">
        <w:rPr>
          <w:rFonts w:ascii="Times New Roman" w:hAnsi="Times New Roman" w:cs="Times New Roman"/>
          <w:sz w:val="24"/>
          <w:szCs w:val="24"/>
        </w:rPr>
        <w:t>а</w:t>
      </w:r>
      <w:r w:rsidR="00F513DC" w:rsidRPr="00502F2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F513DC" w:rsidRPr="00502F2E" w:rsidRDefault="00F513DC" w:rsidP="00F513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 xml:space="preserve"> округа «Княжпогостский»</w:t>
      </w:r>
      <w:r w:rsidR="00502F2E" w:rsidRPr="00502F2E">
        <w:rPr>
          <w:rFonts w:ascii="Times New Roman" w:hAnsi="Times New Roman" w:cs="Times New Roman"/>
          <w:sz w:val="24"/>
          <w:szCs w:val="24"/>
        </w:rPr>
        <w:t xml:space="preserve"> </w:t>
      </w:r>
      <w:r w:rsidRPr="00502F2E">
        <w:rPr>
          <w:rFonts w:ascii="Times New Roman" w:hAnsi="Times New Roman" w:cs="Times New Roman"/>
          <w:sz w:val="24"/>
          <w:szCs w:val="24"/>
        </w:rPr>
        <w:t>-</w:t>
      </w:r>
    </w:p>
    <w:p w:rsidR="00F513DC" w:rsidRPr="00502F2E" w:rsidRDefault="00F513DC" w:rsidP="00F513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>руководител</w:t>
      </w:r>
      <w:r w:rsidR="00502F2E" w:rsidRPr="00502F2E">
        <w:rPr>
          <w:rFonts w:ascii="Times New Roman" w:hAnsi="Times New Roman" w:cs="Times New Roman"/>
          <w:sz w:val="24"/>
          <w:szCs w:val="24"/>
        </w:rPr>
        <w:t>ь</w:t>
      </w:r>
      <w:r w:rsidRPr="00502F2E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</w:t>
      </w:r>
      <w:r w:rsidR="00502F2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2F2E">
        <w:rPr>
          <w:rFonts w:ascii="Times New Roman" w:hAnsi="Times New Roman" w:cs="Times New Roman"/>
          <w:sz w:val="24"/>
          <w:szCs w:val="24"/>
        </w:rPr>
        <w:t>А.Л. Немчинов</w:t>
      </w:r>
    </w:p>
    <w:p w:rsidR="00F513DC" w:rsidRPr="00502F2E" w:rsidRDefault="00F513DC" w:rsidP="00F513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13DC" w:rsidRPr="00502F2E" w:rsidRDefault="00F513DC" w:rsidP="00F513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13DC" w:rsidRPr="00502F2E" w:rsidRDefault="00F513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13DC" w:rsidRPr="00502F2E" w:rsidRDefault="00F513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02F2E" w:rsidRDefault="00F51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 xml:space="preserve">к </w:t>
      </w:r>
      <w:r w:rsidR="00502F2E">
        <w:rPr>
          <w:rFonts w:ascii="Times New Roman" w:hAnsi="Times New Roman" w:cs="Times New Roman"/>
          <w:sz w:val="24"/>
          <w:szCs w:val="24"/>
        </w:rPr>
        <w:t>п</w:t>
      </w:r>
      <w:r w:rsidRPr="00502F2E">
        <w:rPr>
          <w:rFonts w:ascii="Times New Roman" w:hAnsi="Times New Roman" w:cs="Times New Roman"/>
          <w:sz w:val="24"/>
          <w:szCs w:val="24"/>
        </w:rPr>
        <w:t>остановлению</w:t>
      </w:r>
      <w:r w:rsidR="00502F2E">
        <w:rPr>
          <w:rFonts w:ascii="Times New Roman" w:hAnsi="Times New Roman" w:cs="Times New Roman"/>
          <w:sz w:val="24"/>
          <w:szCs w:val="24"/>
        </w:rPr>
        <w:t xml:space="preserve"> </w:t>
      </w:r>
      <w:r w:rsidRPr="00502F2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513DC" w:rsidRPr="00502F2E" w:rsidRDefault="00F51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513DC" w:rsidRPr="00502F2E" w:rsidRDefault="00F51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 xml:space="preserve">«Княжпогостский» </w:t>
      </w:r>
    </w:p>
    <w:p w:rsidR="00F513DC" w:rsidRPr="00502F2E" w:rsidRDefault="00F51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 xml:space="preserve">от </w:t>
      </w:r>
      <w:r w:rsidR="00502F2E">
        <w:rPr>
          <w:rFonts w:ascii="Times New Roman" w:hAnsi="Times New Roman" w:cs="Times New Roman"/>
          <w:sz w:val="24"/>
          <w:szCs w:val="24"/>
        </w:rPr>
        <w:t xml:space="preserve">17 декабря </w:t>
      </w:r>
      <w:r w:rsidRPr="00502F2E">
        <w:rPr>
          <w:rFonts w:ascii="Times New Roman" w:hAnsi="Times New Roman" w:cs="Times New Roman"/>
          <w:sz w:val="24"/>
          <w:szCs w:val="24"/>
        </w:rPr>
        <w:t>2024 г. №</w:t>
      </w:r>
      <w:r w:rsidR="00502F2E">
        <w:rPr>
          <w:rFonts w:ascii="Times New Roman" w:hAnsi="Times New Roman" w:cs="Times New Roman"/>
          <w:sz w:val="24"/>
          <w:szCs w:val="24"/>
        </w:rPr>
        <w:t>178</w:t>
      </w:r>
    </w:p>
    <w:p w:rsidR="00F513DC" w:rsidRPr="00502F2E" w:rsidRDefault="00F513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13DC" w:rsidRPr="00502F2E" w:rsidRDefault="00F513DC" w:rsidP="00F513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5"/>
      <w:bookmarkEnd w:id="1"/>
      <w:r w:rsidRPr="00502F2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513DC" w:rsidRPr="00502F2E" w:rsidRDefault="00F513DC" w:rsidP="00F513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F2E">
        <w:rPr>
          <w:rFonts w:ascii="Times New Roman" w:hAnsi="Times New Roman" w:cs="Times New Roman"/>
          <w:b/>
          <w:sz w:val="24"/>
          <w:szCs w:val="24"/>
        </w:rPr>
        <w:t>формирования и ведения реестра источников доходов бюджета муниципального округа «Княжпогостский»</w:t>
      </w:r>
    </w:p>
    <w:p w:rsidR="00F513DC" w:rsidRPr="00502F2E" w:rsidRDefault="00F513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3DC" w:rsidRPr="00502F2E" w:rsidRDefault="00F513D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 xml:space="preserve">1. </w:t>
      </w: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Порядок формирования и ведения реестра источников доходов муниципального округа «Княжпогостский» (далее - Порядок) определяет правила формирования и ведения реестра источников доходов бюджета муниципального округа «Княжпогостский» (далее - реестр источников доходов бюджета), а также состав информации, подлежащей включению в перечень.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2. Реестр источников доходов бюджета представляет собой свод информации о доходах бюджета по источникам доходов бюджета муниципального округа «Княжпогостский» (далее - бюджет),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Реестр источников доходов бюджета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формируется и ведется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электронной форме в государственной интегрированной информационной системе управления общественными финансами «Электронный бюджет».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4. Реестр источников доходов бюджета ведется на государственном языке Российской Федерации.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5.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При формировании и ведении реестра источников доходов бюджета в государственной информационной системе управления государственными финансами Республики Коми используются усиленные квалифицированные электронные подписи лиц, уполномоченных действовать от имени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 процесса ведения реестра источников доходов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(далее - электронные подписи), указанных в </w:t>
      </w:r>
      <w:hyperlink w:anchor="P46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5"/>
      <w:bookmarkEnd w:id="2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Реестр источников доходов бюджета ведется Финансовым управлением администрации </w:t>
      </w:r>
      <w:r w:rsidR="00F45F1B"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«Княжпогостский» (далее - Финансовое управление).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46"/>
      <w:bookmarkEnd w:id="3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В целях ведения реестра источников доходов бюджета Финансовое управление, органы местного самоуправления</w:t>
      </w:r>
      <w:r w:rsidR="00502F2E"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«Княжпогостский»</w:t>
      </w: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отраслевые (функциональные) органы администрации </w:t>
      </w:r>
      <w:r w:rsidR="00F45F1B"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 «Княжпогостский»</w:t>
      </w: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 (далее - участники процесса ведения реестра источников доходов бюджета), обеспечивают предоставление сведений, необходимых для ведения реестра источников доходов бюджета в соответствии с положениями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  <w:r w:rsidR="00F45F1B"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предоставляют по форме </w:t>
      </w:r>
      <w:proofErr w:type="gramStart"/>
      <w:r w:rsidR="00F45F1B"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приложения</w:t>
      </w:r>
      <w:proofErr w:type="gramEnd"/>
      <w:r w:rsidR="00F45F1B"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Порядку.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Ответственность за полноту и достоверность информации, а также </w:t>
      </w: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своевременность ее включения в реестры источников доходов бюджета несут участники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процесса ведения реестров источников доходов бюджета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48"/>
      <w:bookmarkEnd w:id="4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10. В реестр источников доходов бюджета в отношении каждого источника дохода бюджета включается следующая информация: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49"/>
      <w:bookmarkEnd w:id="5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наименование источника дохода бюджета;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  <w:proofErr w:type="gramEnd"/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наименование группы источников доходов бюджетов,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которую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г) информация о муниципальном округе «Княжпогостский», в доход бюджета которого зачисляются платежи, являющиеся источником дохода бюджета;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53"/>
      <w:bookmarkEnd w:id="6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информация об органах местного самоуправления, отраслевых (функциональных) органах администрации </w:t>
      </w:r>
      <w:r w:rsidR="00F45F1B"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F1B"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«Княжпогостский»</w:t>
      </w: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, казенных учреждениях, иных организациях, осуществляющих бюджетные полномочия главных администраторов доходов бюджета;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54"/>
      <w:bookmarkEnd w:id="7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 </w:t>
      </w:r>
      <w:r w:rsidR="00F45F1B"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«Княжпогостский» (далее - решение о бюджете);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55"/>
      <w:bookmarkEnd w:id="8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56"/>
      <w:bookmarkEnd w:id="9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57"/>
      <w:bookmarkEnd w:id="10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58"/>
      <w:bookmarkEnd w:id="11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59"/>
      <w:bookmarkEnd w:id="12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60"/>
      <w:bookmarkEnd w:id="13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м) иная информация, предусмотренная Порядком, утвержденным в установленном порядке.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</w:t>
      </w: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w:anchor="P49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«а»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53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«д» пункта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государственной интегрированной информационной системой управления общественными финансами «Электронный бюджет», в которой осуществляется формирование и ведение перечня источников доходов бюджета.</w:t>
      </w:r>
      <w:proofErr w:type="gramEnd"/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Информация, указанная в </w:t>
      </w:r>
      <w:hyperlink w:anchor="P54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«е»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7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«и» пункта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формируется и ведется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прогнозов поступления доходов бюджета, информация, указанная в </w:t>
      </w:r>
      <w:hyperlink w:anchor="P55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«ж»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6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«з» пункта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формируется и ведется на основании решения о бюджете.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Информация, указанная в </w:t>
      </w:r>
      <w:hyperlink w:anchor="P58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«к» пункта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Финансовое управление, обеспечивает включение в реестры источников доходов бюджета информации, указанной в </w:t>
      </w:r>
      <w:hyperlink w:anchor="P48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следующие сроки: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информации, указанной в </w:t>
      </w:r>
      <w:hyperlink w:anchor="P49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«а»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53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«д» пункта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информации, указанной в </w:t>
      </w:r>
      <w:hyperlink w:anchor="P55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«ж»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56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«з»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9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«л» пункта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- не позднее 5 рабочих дней со дня принятия или внесения изменений в решение о бюджете и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исполнении бюджета;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информации, указанной в </w:t>
      </w:r>
      <w:hyperlink w:anchor="P57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«и» пункта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- согласно установленному в соответствии с бюджетным законодательством порядку составления и ведения кассового плана исполнения бюджета, но не позднее 10-го рабочего дня каждого месяца;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информации, указанной в </w:t>
      </w:r>
      <w:hyperlink w:anchor="P54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«е»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60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«м» пункта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- в сроки, установленные в порядке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ведения соответствующего реестра источников доходов бюджета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информации, указанной в </w:t>
      </w:r>
      <w:hyperlink w:anchor="P58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«</w:t>
        </w:r>
        <w:proofErr w:type="gramStart"/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</w:t>
        </w:r>
        <w:proofErr w:type="gramEnd"/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» пункта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71"/>
      <w:bookmarkEnd w:id="14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Финансовое управление в целях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ведения реестра источников доходов бюджета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w:anchor="P48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обеспечивает в автоматизированном режиме проверку: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наличия информации в соответствии с </w:t>
      </w:r>
      <w:hyperlink w:anchor="P48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соответствия порядка формирования информации правилам, установленным в </w:t>
      </w: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соответствии с </w:t>
      </w:r>
      <w:hyperlink w:anchor="P87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в) соответствия информации иным нормам, установленным в порядке ведения реестра источников доходов бюджета (при наличии).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75"/>
      <w:bookmarkEnd w:id="15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В случае положительного результата проверки, указанной в </w:t>
      </w:r>
      <w:hyperlink w:anchor="P71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16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информация, представленная участником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процесса ведения реестра источников дохода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бюджета, образует реестровую запись источника доходов бюджета реестра источников доходов бюджета, которой орган, осуществляющий ведение реестра источников дохода бюджета в соответствии с </w:t>
      </w:r>
      <w:hyperlink w:anchor="P45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присваивает уникальный номер.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направлении участником процесса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ведения реестра источников доходов бюджета измененной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указанной в </w:t>
      </w:r>
      <w:hyperlink w:anchor="P48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отрицательного результата проверки, указанной в </w:t>
      </w:r>
      <w:hyperlink w:anchor="P71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16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информация, представленная участником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процесса ведения реестра источников доходов бюджета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hyperlink w:anchor="P48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</w:t>
      </w:r>
      <w:hyperlink w:anchor="P45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течение не более одного рабочего дня со дня представления участником процесса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ведения реестра источников доходов бюджета информации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В случае получения предусмотренного </w:t>
      </w:r>
      <w:hyperlink w:anchor="P75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17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протокола участник процесса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ведения реестра источников доходов бюджета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Уникальный номер реестровой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записи источника дохода бюджета реестра источников доходов бюджета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следующую структуру: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2, 3, 4, 5 разряды - значения группы доходов, подгруппы доходов, статьи доходов, предусмотренные кодом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вида доходов бюджетов классификации доходов бюджета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14, 15, 16, 17, 18, 19, 20, 21 разряды - код территории населенного пункта в соответствии с Общероссийским </w:t>
      </w:r>
      <w:hyperlink r:id="rId9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классификатором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территорий муниципальных образований, в бюджет которого зачисляется платеж;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22, 23, 24, 25, 26, 27 разряды - номер источника доходов бюджета;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28, 29, 30 разряды - порядковый номер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версии реестровой записи источника дохода бюджета реестра источников доходов бюджета</w:t>
      </w:r>
      <w:proofErr w:type="gramEnd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13DC" w:rsidRPr="00502F2E" w:rsidRDefault="00F5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87"/>
      <w:bookmarkEnd w:id="16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20. </w:t>
      </w:r>
      <w:proofErr w:type="gramStart"/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информации, предусмотренной </w:t>
      </w:r>
      <w:hyperlink w:anchor="P49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«а»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59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«л» пункта 10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для включения в реестр источников доходов бюджета осуществляется в соответствии с </w:t>
      </w:r>
      <w:hyperlink r:id="rId10">
        <w:r w:rsidRPr="00502F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50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 июня 2015 г. № 658 «О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F513DC" w:rsidRPr="00502F2E" w:rsidRDefault="00F513D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3DC" w:rsidRPr="00502F2E" w:rsidRDefault="00F513D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3DC" w:rsidRPr="00502F2E" w:rsidRDefault="00F513D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3DC" w:rsidRPr="00502F2E" w:rsidRDefault="00F513D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3DC" w:rsidRPr="00502F2E" w:rsidRDefault="00F513D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5F1B" w:rsidRPr="00502F2E" w:rsidRDefault="00F45F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5F1B" w:rsidRDefault="00F45F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2E" w:rsidRDefault="00502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2E" w:rsidRPr="00502F2E" w:rsidRDefault="00502F2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3DC" w:rsidRPr="00502F2E" w:rsidRDefault="00F51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13DC" w:rsidRPr="00502F2E" w:rsidRDefault="00F51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>к Порядку</w:t>
      </w:r>
    </w:p>
    <w:p w:rsidR="00F513DC" w:rsidRPr="00502F2E" w:rsidRDefault="00F51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>формирования и ведения реестра</w:t>
      </w:r>
    </w:p>
    <w:p w:rsidR="00F513DC" w:rsidRPr="00502F2E" w:rsidRDefault="00F51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>источников доходов бюджета</w:t>
      </w:r>
    </w:p>
    <w:p w:rsidR="00D775CB" w:rsidRPr="00502F2E" w:rsidRDefault="00D7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513DC" w:rsidRPr="00502F2E" w:rsidRDefault="00F51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 xml:space="preserve"> </w:t>
      </w:r>
      <w:r w:rsidR="00F45F1B" w:rsidRPr="00502F2E"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F513DC" w:rsidRPr="00502F2E" w:rsidRDefault="00F513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13DC" w:rsidRPr="00502F2E" w:rsidRDefault="00F45F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>Реестр источников доходов бюджета муниципального округа</w:t>
      </w:r>
      <w:r w:rsidR="00F513DC" w:rsidRPr="00502F2E">
        <w:rPr>
          <w:rFonts w:ascii="Times New Roman" w:hAnsi="Times New Roman" w:cs="Times New Roman"/>
          <w:sz w:val="24"/>
          <w:szCs w:val="24"/>
        </w:rPr>
        <w:t xml:space="preserve"> </w:t>
      </w:r>
      <w:r w:rsidRPr="00502F2E"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F513DC" w:rsidRPr="00502F2E" w:rsidRDefault="00F513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13DC" w:rsidRPr="00502F2E" w:rsidRDefault="00F51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F2E">
        <w:rPr>
          <w:rFonts w:ascii="Times New Roman" w:hAnsi="Times New Roman" w:cs="Times New Roman"/>
          <w:sz w:val="24"/>
          <w:szCs w:val="24"/>
        </w:rPr>
        <w:t>Единица измерения: тыс. руб.</w:t>
      </w:r>
    </w:p>
    <w:p w:rsidR="00F513DC" w:rsidRPr="00502F2E" w:rsidRDefault="00F513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737"/>
        <w:gridCol w:w="1072"/>
        <w:gridCol w:w="1077"/>
        <w:gridCol w:w="1247"/>
        <w:gridCol w:w="907"/>
        <w:gridCol w:w="1134"/>
        <w:gridCol w:w="1191"/>
        <w:gridCol w:w="1191"/>
      </w:tblGrid>
      <w:tr w:rsidR="00F513DC" w:rsidRPr="00502F2E">
        <w:tc>
          <w:tcPr>
            <w:tcW w:w="1206" w:type="dxa"/>
            <w:gridSpan w:val="2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Классификация доходов бюджетов</w:t>
            </w:r>
          </w:p>
        </w:tc>
        <w:tc>
          <w:tcPr>
            <w:tcW w:w="1072" w:type="dxa"/>
            <w:vMerge w:val="restart"/>
          </w:tcPr>
          <w:p w:rsidR="00F513DC" w:rsidRPr="00502F2E" w:rsidRDefault="00F513DC" w:rsidP="006D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доходов </w:t>
            </w:r>
          </w:p>
        </w:tc>
        <w:tc>
          <w:tcPr>
            <w:tcW w:w="1077" w:type="dxa"/>
            <w:vMerge w:val="restart"/>
          </w:tcPr>
          <w:p w:rsidR="00F513DC" w:rsidRPr="00502F2E" w:rsidRDefault="00F513DC" w:rsidP="006D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Прогноз доходов на 20__ г. (текущий финансовый год)</w:t>
            </w:r>
          </w:p>
        </w:tc>
        <w:tc>
          <w:tcPr>
            <w:tcW w:w="1247" w:type="dxa"/>
            <w:vMerge w:val="restart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Кассовые поступления в текущем финансовом году (по состоянию на «__» _______ 20_ г.</w:t>
            </w:r>
            <w:proofErr w:type="gramEnd"/>
          </w:p>
        </w:tc>
        <w:tc>
          <w:tcPr>
            <w:tcW w:w="907" w:type="dxa"/>
            <w:vMerge w:val="restart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Оценка исполнения 20__ г. (текущий финансовый год)</w:t>
            </w:r>
          </w:p>
        </w:tc>
        <w:tc>
          <w:tcPr>
            <w:tcW w:w="3516" w:type="dxa"/>
            <w:gridSpan w:val="3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 xml:space="preserve">Прогноз доходов муниципального округа </w:t>
            </w:r>
            <w:r w:rsidR="00F45F1B" w:rsidRPr="00502F2E"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</w:p>
        </w:tc>
      </w:tr>
      <w:tr w:rsidR="00F513DC" w:rsidRPr="00502F2E">
        <w:tc>
          <w:tcPr>
            <w:tcW w:w="469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37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72" w:type="dxa"/>
            <w:vMerge/>
          </w:tcPr>
          <w:p w:rsidR="00F513DC" w:rsidRPr="00502F2E" w:rsidRDefault="00F51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513DC" w:rsidRPr="00502F2E" w:rsidRDefault="00F51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513DC" w:rsidRPr="00502F2E" w:rsidRDefault="00F51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513DC" w:rsidRPr="00502F2E" w:rsidRDefault="00F51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на 20__ г. (очередной финансовый год)</w:t>
            </w:r>
          </w:p>
        </w:tc>
        <w:tc>
          <w:tcPr>
            <w:tcW w:w="1191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на 20__ г. (первый год планового периода)</w:t>
            </w:r>
          </w:p>
        </w:tc>
        <w:tc>
          <w:tcPr>
            <w:tcW w:w="1191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на 20__ г. (второй год планового периода)</w:t>
            </w:r>
          </w:p>
        </w:tc>
      </w:tr>
      <w:tr w:rsidR="00F513DC" w:rsidRPr="00502F2E">
        <w:tc>
          <w:tcPr>
            <w:tcW w:w="469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F513DC" w:rsidRPr="00502F2E" w:rsidRDefault="00F51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13DC" w:rsidRPr="00502F2E">
        <w:tc>
          <w:tcPr>
            <w:tcW w:w="469" w:type="dxa"/>
          </w:tcPr>
          <w:p w:rsidR="00F513DC" w:rsidRPr="00502F2E" w:rsidRDefault="00F51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513DC" w:rsidRPr="00502F2E" w:rsidRDefault="00F51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513DC" w:rsidRPr="00502F2E" w:rsidRDefault="00F51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513DC" w:rsidRPr="00502F2E" w:rsidRDefault="00F51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513DC" w:rsidRPr="00502F2E" w:rsidRDefault="00F51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513DC" w:rsidRPr="00502F2E" w:rsidRDefault="00F51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3DC" w:rsidRPr="00502F2E" w:rsidRDefault="00F51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513DC" w:rsidRPr="00502F2E" w:rsidRDefault="00F51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513DC" w:rsidRPr="00502F2E" w:rsidRDefault="00F51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3DC" w:rsidRPr="00502F2E" w:rsidRDefault="00F513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513DC" w:rsidRPr="00502F2E" w:rsidSect="0016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DC"/>
    <w:rsid w:val="000259EA"/>
    <w:rsid w:val="00502F2E"/>
    <w:rsid w:val="005655BC"/>
    <w:rsid w:val="006D0139"/>
    <w:rsid w:val="00865089"/>
    <w:rsid w:val="00D775CB"/>
    <w:rsid w:val="00F45F1B"/>
    <w:rsid w:val="00F5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3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13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13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F513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3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13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13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F513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6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5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427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77915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0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Hlupina</cp:lastModifiedBy>
  <cp:revision>4</cp:revision>
  <cp:lastPrinted>2024-12-17T07:44:00Z</cp:lastPrinted>
  <dcterms:created xsi:type="dcterms:W3CDTF">2024-11-26T08:46:00Z</dcterms:created>
  <dcterms:modified xsi:type="dcterms:W3CDTF">2024-12-17T07:46:00Z</dcterms:modified>
</cp:coreProperties>
</file>