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tbl>
      <w:tblPr>
        <w:tblpPr w:vertAnchor="page" w:horzAnchor="page" w:tblpX="8687" w:tblpY="511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1"/>
      </w:tblGrid>
      <w:tr w:rsidR="001F5899" w14:paraId="321D7DFE" w14:textId="77777777" w:rsidTr="001600A6">
        <w:trPr>
          <w:cantSplit/>
          <w:trHeight w:val="454"/>
        </w:trPr>
        <w:tc>
          <w:tcPr>
            <w:tcW w:w="1581" w:type="dxa"/>
            <w:noWrap/>
          </w:tcPr>
          <w:p w14:paraId="20FA01A3" w14:textId="77777777" w:rsidR="001F5899" w:rsidRDefault="001F5899" w:rsidP="001600A6">
            <w:pPr>
              <w:spacing w:after="0" w:line="240" w:lineRule="auto"/>
              <w:rPr>
                <w:rFonts w:ascii="EanGnivc" w:hAnsi="EanGnivc"/>
                <w:sz w:val="64"/>
                <w:szCs w:val="64"/>
                <w:lang w:val="en-US"/>
              </w:rPr>
            </w:pPr>
          </w:p>
        </w:tc>
      </w:tr>
    </w:tbl>
    <w:p w14:paraId="33B39827" w14:textId="77777777" w:rsidR="006E132E" w:rsidRDefault="006E132E">
      <w:pPr>
        <w:rPr>
          <w:sz w:val="12"/>
          <w:szCs w:val="12"/>
        </w:rPr>
      </w:pPr>
    </w:p>
    <w:p w14:paraId="0BE0EA63" w14:textId="37BEFAF9" w:rsidR="001B7F90" w:rsidRPr="00C15A0D" w:rsidRDefault="001B7F90">
      <w:pPr>
        <w:rPr>
          <w:sz w:val="12"/>
          <w:szCs w:val="12"/>
        </w:rPr>
      </w:pPr>
    </w:p>
    <w:p w14:paraId="5086EEA7" w14:textId="6E021744" w:rsidR="006E132E" w:rsidRPr="006E132E" w:rsidRDefault="006E132E" w:rsidP="006E132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637E5D40" w14:textId="77777777" w:rsidR="006E132E" w:rsidRDefault="006E132E" w:rsidP="006E132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1CC3F43" w14:textId="77777777" w:rsidR="00562A98" w:rsidRPr="00562A98" w:rsidRDefault="00562A98" w:rsidP="00562A9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62A98">
        <w:rPr>
          <w:rFonts w:ascii="Times New Roman" w:hAnsi="Times New Roman" w:cs="Times New Roman"/>
          <w:b/>
          <w:bCs/>
          <w:sz w:val="28"/>
          <w:szCs w:val="28"/>
        </w:rPr>
        <w:t xml:space="preserve">Новые полномочия прокурора в арбитражном и гражданском процессах  </w:t>
      </w:r>
    </w:p>
    <w:p w14:paraId="13A3AD1B" w14:textId="77777777" w:rsidR="00562A98" w:rsidRDefault="00562A98" w:rsidP="00562A98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14:paraId="0934AE65" w14:textId="77777777" w:rsidR="00562A98" w:rsidRPr="00562A98" w:rsidRDefault="00562A98" w:rsidP="00562A9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2A98">
        <w:rPr>
          <w:rFonts w:ascii="Times New Roman" w:hAnsi="Times New Roman" w:cs="Times New Roman"/>
          <w:bCs/>
          <w:sz w:val="28"/>
          <w:szCs w:val="28"/>
        </w:rPr>
        <w:t>С 18.10.2022 Федеральным законом № 387-ФЗ «О внесении изменений в статью 52 Арбитражного процессуального кодекса Российской Федерации и статью 45 Гражданского процессуального кодекса Российской Федерации» расширены полномочия прокурора в арбитражном и гражданском процессе.</w:t>
      </w:r>
    </w:p>
    <w:p w14:paraId="45130B0B" w14:textId="77777777" w:rsidR="00562A98" w:rsidRPr="00562A98" w:rsidRDefault="00562A98" w:rsidP="00562A9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2A98">
        <w:rPr>
          <w:rFonts w:ascii="Times New Roman" w:hAnsi="Times New Roman" w:cs="Times New Roman"/>
          <w:bCs/>
          <w:sz w:val="28"/>
          <w:szCs w:val="28"/>
        </w:rPr>
        <w:t>Увеличился перечень исковых требований, с которыми прокурор вправе обратиться в арбитражный суд:</w:t>
      </w:r>
    </w:p>
    <w:p w14:paraId="069B813D" w14:textId="77777777" w:rsidR="00562A98" w:rsidRPr="00562A98" w:rsidRDefault="00562A98" w:rsidP="00562A9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2A98">
        <w:rPr>
          <w:rFonts w:ascii="Times New Roman" w:hAnsi="Times New Roman" w:cs="Times New Roman"/>
          <w:bCs/>
          <w:sz w:val="28"/>
          <w:szCs w:val="28"/>
        </w:rPr>
        <w:t>- иски о признании недействительными и применении последствий недействительности сделок, совершенных в целях уклонения от исполнения обязанностей и процедур, предусмотренных законодательством о противодействии легализации (отмыванию) доходов, полученных преступным путем, и финансированию терроризма, законодательством о налогах и сборах, валютным и таможенным законодательством;</w:t>
      </w:r>
    </w:p>
    <w:p w14:paraId="16B9A547" w14:textId="77777777" w:rsidR="00562A98" w:rsidRPr="00562A98" w:rsidRDefault="00562A98" w:rsidP="00562A9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2A98">
        <w:rPr>
          <w:rFonts w:ascii="Times New Roman" w:hAnsi="Times New Roman" w:cs="Times New Roman"/>
          <w:bCs/>
          <w:sz w:val="28"/>
          <w:szCs w:val="28"/>
        </w:rPr>
        <w:t>-иски о признании недействительными сделок, совершенных с нарушением законодательства, устанавливающего специальные экономические меры, меры воздействия (противодействия) на недружественные действия иностранных государств, и о применении последствий недействительности таких сделок.</w:t>
      </w:r>
    </w:p>
    <w:p w14:paraId="6B065D65" w14:textId="77777777" w:rsidR="00562A98" w:rsidRPr="00562A98" w:rsidRDefault="00562A98" w:rsidP="00562A9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2A98">
        <w:rPr>
          <w:rFonts w:ascii="Times New Roman" w:hAnsi="Times New Roman" w:cs="Times New Roman"/>
          <w:bCs/>
          <w:sz w:val="28"/>
          <w:szCs w:val="28"/>
        </w:rPr>
        <w:t>Кроме того, прокурорам предоставлена возможность вступить в дело на любой стадии арбитражного процесса, например, если в рамках дела о банкротстве затрагиваются жилищные права граждан, в том числе несовершеннолетних. Данные полномочия позволят не только защитить права граждан, но и будут выступать защитным механизмом в части запрета включения в конкурсную массу единственного пригодного жилого помещения.</w:t>
      </w:r>
    </w:p>
    <w:p w14:paraId="6E39EC44" w14:textId="77777777" w:rsidR="00562A98" w:rsidRPr="00562A98" w:rsidRDefault="00562A98" w:rsidP="00562A9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2A98">
        <w:rPr>
          <w:rFonts w:ascii="Times New Roman" w:hAnsi="Times New Roman" w:cs="Times New Roman"/>
          <w:bCs/>
          <w:sz w:val="28"/>
          <w:szCs w:val="28"/>
        </w:rPr>
        <w:t>Также, предусмотрено вмешательство прокурора при рассмотрении заявлений о признании и приведении в исполнение решений иностранных судов и иностранных арбитражных решений. Усиление прокурорского надзора в данной сфере позволит минимизировать исполнение решений судов недружественных государств в связи с противоречием публичному порядку Российской Федерации.</w:t>
      </w:r>
    </w:p>
    <w:p w14:paraId="3F29E138" w14:textId="77777777" w:rsidR="00562A98" w:rsidRPr="00562A98" w:rsidRDefault="00562A98" w:rsidP="00562A9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2A98">
        <w:rPr>
          <w:rFonts w:ascii="Times New Roman" w:hAnsi="Times New Roman" w:cs="Times New Roman"/>
          <w:bCs/>
          <w:sz w:val="28"/>
          <w:szCs w:val="28"/>
        </w:rPr>
        <w:t>Схожие изменения внесены и в ГПК РФ. Так, согласно ч.4 ст. 45 ГПК РФ прокурор вправе вступать на любой стадии в гражданский процесс для дачи заключения как по своей инициативе, так и по инициативе суда по определенным вопросам, например, при рассмотрении судом заявления о выдаче исполнительного листа на принудительное исполнение решения третейского суда, ходатайства о признании и приведении в исполнение решения иностранного суда и иностранного арбитражного решения.</w:t>
      </w:r>
    </w:p>
    <w:p w14:paraId="44B1E634" w14:textId="77777777" w:rsidR="00562A98" w:rsidRPr="00562A98" w:rsidRDefault="00562A98" w:rsidP="00562A9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2A98">
        <w:rPr>
          <w:rFonts w:ascii="Times New Roman" w:hAnsi="Times New Roman" w:cs="Times New Roman"/>
          <w:bCs/>
          <w:sz w:val="28"/>
          <w:szCs w:val="28"/>
        </w:rPr>
        <w:t>Указный механизм будет способствовать не только поддержанию законности, но и стабилизации и укреплению российских компаний.</w:t>
      </w:r>
    </w:p>
    <w:p w14:paraId="77D92FF4" w14:textId="77777777" w:rsidR="00562A98" w:rsidRPr="00562A98" w:rsidRDefault="00562A98" w:rsidP="00562A9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2A98">
        <w:rPr>
          <w:rFonts w:ascii="Times New Roman" w:hAnsi="Times New Roman" w:cs="Times New Roman"/>
          <w:bCs/>
          <w:sz w:val="28"/>
          <w:szCs w:val="28"/>
        </w:rPr>
        <w:t xml:space="preserve">Введение новых полномочий направлено на исключение возможности использования в противоправных целях недобросовестными участниками хозяйственного оборота института судебной власти, защиту субъектов </w:t>
      </w:r>
      <w:r w:rsidRPr="00562A98">
        <w:rPr>
          <w:rFonts w:ascii="Times New Roman" w:hAnsi="Times New Roman" w:cs="Times New Roman"/>
          <w:bCs/>
          <w:sz w:val="28"/>
          <w:szCs w:val="28"/>
        </w:rPr>
        <w:lastRenderedPageBreak/>
        <w:t>хозяйственной деятельности в период сложной экономической ситуации от злоупотреблений со стороны контрагентов.</w:t>
      </w:r>
    </w:p>
    <w:p w14:paraId="6211A664" w14:textId="77777777" w:rsidR="00562A98" w:rsidRPr="00562A98" w:rsidRDefault="00562A98" w:rsidP="00562A9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62A98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14:paraId="23EE7F90" w14:textId="56572D54" w:rsidR="00FA5816" w:rsidRDefault="006E132E" w:rsidP="009533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132E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tbl>
      <w:tblPr>
        <w:tblpPr w:leftFromText="1701" w:bottomFromText="1134" w:vertAnchor="page" w:horzAnchor="margin" w:tblpY="15316"/>
        <w:tblOverlap w:val="never"/>
        <w:tblW w:w="305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79"/>
      </w:tblGrid>
      <w:tr w:rsidR="00FA5816" w:rsidRPr="00B377CC" w14:paraId="18B792DA" w14:textId="77777777" w:rsidTr="006F55ED">
        <w:trPr>
          <w:trHeight w:val="99"/>
        </w:trPr>
        <w:tc>
          <w:tcPr>
            <w:tcW w:w="5879" w:type="dxa"/>
            <w:hideMark/>
          </w:tcPr>
          <w:p w14:paraId="0FA06E63" w14:textId="77777777" w:rsidR="00FA5816" w:rsidRPr="00B377CC" w:rsidRDefault="00FA5816" w:rsidP="00821215">
            <w:pPr>
              <w:tabs>
                <w:tab w:val="left" w:pos="2268"/>
                <w:tab w:val="left" w:pos="680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5589623A" w14:textId="77777777" w:rsidR="00FA5816" w:rsidRDefault="00FA5816" w:rsidP="001921AE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A5816" w:rsidSect="003443C6">
      <w:headerReference w:type="default" r:id="rId10"/>
      <w:footerReference w:type="first" r:id="rId11"/>
      <w:pgSz w:w="11906" w:h="16838"/>
      <w:pgMar w:top="45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B8FC04" w14:textId="77777777" w:rsidR="00097F80" w:rsidRDefault="00097F80" w:rsidP="007212FD">
      <w:pPr>
        <w:spacing w:after="0" w:line="240" w:lineRule="auto"/>
      </w:pPr>
      <w:r>
        <w:separator/>
      </w:r>
    </w:p>
  </w:endnote>
  <w:endnote w:type="continuationSeparator" w:id="0">
    <w:p w14:paraId="55F4346B" w14:textId="77777777" w:rsidR="00097F80" w:rsidRDefault="00097F80" w:rsidP="00721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EanGniv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vertAnchor="page" w:horzAnchor="margin" w:tblpXSpec="right" w:tblpYSpec="outside"/>
      <w:tblW w:w="0" w:type="auto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3643"/>
    </w:tblGrid>
    <w:tr w:rsidR="00107179" w:rsidRPr="00C02223" w14:paraId="6785A7C5" w14:textId="77777777" w:rsidTr="00EA7E72">
      <w:trPr>
        <w:cantSplit/>
        <w:trHeight w:val="57"/>
      </w:trPr>
      <w:tc>
        <w:tcPr>
          <w:tcW w:w="3643" w:type="dxa"/>
        </w:tcPr>
        <w:p w14:paraId="07EC2477" w14:textId="77777777" w:rsidR="002E7520" w:rsidRDefault="00923FB5" w:rsidP="002E7520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bookmarkStart w:id="0" w:name="SIGNERORG1"/>
          <w:r w:rsidRPr="00EA1DA0">
            <w:rPr>
              <w:rFonts w:ascii="Times New Roman" w:hAnsi="Times New Roman"/>
              <w:sz w:val="16"/>
              <w:szCs w:val="16"/>
            </w:rPr>
            <w:t>организация</w:t>
          </w:r>
          <w:bookmarkEnd w:id="0"/>
        </w:p>
        <w:p w14:paraId="093F96B7" w14:textId="77777777" w:rsidR="00107179" w:rsidRPr="00E12680" w:rsidRDefault="00746B51" w:rsidP="00746B51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r>
            <w:rPr>
              <w:rFonts w:ascii="Times New Roman" w:hAnsi="Times New Roman"/>
              <w:sz w:val="16"/>
              <w:szCs w:val="16"/>
            </w:rPr>
            <w:t xml:space="preserve">№ </w:t>
          </w:r>
          <w:bookmarkStart w:id="1" w:name="REGNUMSTAMP"/>
          <w:proofErr w:type="spellStart"/>
          <w:r w:rsidR="00923FB5" w:rsidRPr="00070889">
            <w:rPr>
              <w:rFonts w:ascii="Times New Roman" w:hAnsi="Times New Roman"/>
              <w:color w:val="BFBFBF" w:themeColor="background1" w:themeShade="BF"/>
              <w:sz w:val="16"/>
              <w:szCs w:val="16"/>
            </w:rPr>
            <w:t>рег.номер</w:t>
          </w:r>
          <w:bookmarkEnd w:id="1"/>
          <w:proofErr w:type="spellEnd"/>
        </w:p>
      </w:tc>
    </w:tr>
  </w:tbl>
  <w:p w14:paraId="0D8220BD" w14:textId="77777777" w:rsidR="00107179" w:rsidRDefault="00107179" w:rsidP="008B567E">
    <w:pPr>
      <w:pStyle w:val="a6"/>
      <w:spacing w:after="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9E00EB" w14:textId="77777777" w:rsidR="00097F80" w:rsidRDefault="00097F80" w:rsidP="007212FD">
      <w:pPr>
        <w:spacing w:after="0" w:line="240" w:lineRule="auto"/>
      </w:pPr>
      <w:r>
        <w:separator/>
      </w:r>
    </w:p>
  </w:footnote>
  <w:footnote w:type="continuationSeparator" w:id="0">
    <w:p w14:paraId="11DB1E75" w14:textId="77777777" w:rsidR="00097F80" w:rsidRDefault="00097F80" w:rsidP="00721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42856681"/>
      <w:docPartObj>
        <w:docPartGallery w:val="Page Numbers (Top of Page)"/>
        <w:docPartUnique/>
      </w:docPartObj>
    </w:sdtPr>
    <w:sdtContent>
      <w:p w14:paraId="528CA6CC" w14:textId="77777777" w:rsidR="006E132E" w:rsidRDefault="006E132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8E7D212" w14:textId="77777777" w:rsidR="006E132E" w:rsidRDefault="006E132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256"/>
    <w:rsid w:val="00014574"/>
    <w:rsid w:val="0001634D"/>
    <w:rsid w:val="0001696A"/>
    <w:rsid w:val="00021F0F"/>
    <w:rsid w:val="00024D01"/>
    <w:rsid w:val="000270F5"/>
    <w:rsid w:val="000437AB"/>
    <w:rsid w:val="00043ED9"/>
    <w:rsid w:val="000550FF"/>
    <w:rsid w:val="00056A50"/>
    <w:rsid w:val="00061D46"/>
    <w:rsid w:val="00070889"/>
    <w:rsid w:val="0007553B"/>
    <w:rsid w:val="00075A79"/>
    <w:rsid w:val="000803E2"/>
    <w:rsid w:val="000904B6"/>
    <w:rsid w:val="00090738"/>
    <w:rsid w:val="00095729"/>
    <w:rsid w:val="00097F80"/>
    <w:rsid w:val="000A1ED6"/>
    <w:rsid w:val="000A4E3C"/>
    <w:rsid w:val="000A527E"/>
    <w:rsid w:val="000A6BB7"/>
    <w:rsid w:val="000A6C9D"/>
    <w:rsid w:val="000B708E"/>
    <w:rsid w:val="000C062E"/>
    <w:rsid w:val="000C225F"/>
    <w:rsid w:val="000C56B1"/>
    <w:rsid w:val="000D6814"/>
    <w:rsid w:val="000F2062"/>
    <w:rsid w:val="000F32C2"/>
    <w:rsid w:val="000F46F8"/>
    <w:rsid w:val="000F7BB7"/>
    <w:rsid w:val="00107179"/>
    <w:rsid w:val="00110CFA"/>
    <w:rsid w:val="001128D6"/>
    <w:rsid w:val="00134382"/>
    <w:rsid w:val="00144445"/>
    <w:rsid w:val="00151B1C"/>
    <w:rsid w:val="001530C5"/>
    <w:rsid w:val="00154919"/>
    <w:rsid w:val="00156642"/>
    <w:rsid w:val="001572B8"/>
    <w:rsid w:val="001600A6"/>
    <w:rsid w:val="001606D7"/>
    <w:rsid w:val="00166A1C"/>
    <w:rsid w:val="00173F90"/>
    <w:rsid w:val="00180843"/>
    <w:rsid w:val="00181D70"/>
    <w:rsid w:val="0018208F"/>
    <w:rsid w:val="001822FA"/>
    <w:rsid w:val="001921AE"/>
    <w:rsid w:val="001A71D0"/>
    <w:rsid w:val="001B073C"/>
    <w:rsid w:val="001B3194"/>
    <w:rsid w:val="001B7F90"/>
    <w:rsid w:val="001C1D35"/>
    <w:rsid w:val="001C2357"/>
    <w:rsid w:val="001C3873"/>
    <w:rsid w:val="001C4297"/>
    <w:rsid w:val="001C61B8"/>
    <w:rsid w:val="001F2B16"/>
    <w:rsid w:val="001F5899"/>
    <w:rsid w:val="001F7FCD"/>
    <w:rsid w:val="002048A1"/>
    <w:rsid w:val="0021798D"/>
    <w:rsid w:val="002403E3"/>
    <w:rsid w:val="00280D52"/>
    <w:rsid w:val="00281733"/>
    <w:rsid w:val="00282A49"/>
    <w:rsid w:val="00287332"/>
    <w:rsid w:val="00291073"/>
    <w:rsid w:val="002955B5"/>
    <w:rsid w:val="00297BCD"/>
    <w:rsid w:val="002A088F"/>
    <w:rsid w:val="002A61DD"/>
    <w:rsid w:val="002A6465"/>
    <w:rsid w:val="002C7C1D"/>
    <w:rsid w:val="002D484E"/>
    <w:rsid w:val="002E7520"/>
    <w:rsid w:val="002F5211"/>
    <w:rsid w:val="003407C6"/>
    <w:rsid w:val="0034238E"/>
    <w:rsid w:val="003443C6"/>
    <w:rsid w:val="00351661"/>
    <w:rsid w:val="0037627A"/>
    <w:rsid w:val="00384D83"/>
    <w:rsid w:val="00385FD2"/>
    <w:rsid w:val="003877B3"/>
    <w:rsid w:val="0039045F"/>
    <w:rsid w:val="003B4D0B"/>
    <w:rsid w:val="003B5CF8"/>
    <w:rsid w:val="003B7F94"/>
    <w:rsid w:val="003C030D"/>
    <w:rsid w:val="003C1601"/>
    <w:rsid w:val="003C2B52"/>
    <w:rsid w:val="003E45E7"/>
    <w:rsid w:val="004036B5"/>
    <w:rsid w:val="00410A58"/>
    <w:rsid w:val="00464C05"/>
    <w:rsid w:val="00470AB3"/>
    <w:rsid w:val="00470BE4"/>
    <w:rsid w:val="00471072"/>
    <w:rsid w:val="00471B0F"/>
    <w:rsid w:val="004840EF"/>
    <w:rsid w:val="004853F4"/>
    <w:rsid w:val="00497EE9"/>
    <w:rsid w:val="004A2339"/>
    <w:rsid w:val="004A6AB6"/>
    <w:rsid w:val="004B0034"/>
    <w:rsid w:val="004B1191"/>
    <w:rsid w:val="004C00C6"/>
    <w:rsid w:val="004C281B"/>
    <w:rsid w:val="004C37D3"/>
    <w:rsid w:val="004D754A"/>
    <w:rsid w:val="004E0AF0"/>
    <w:rsid w:val="004E2E04"/>
    <w:rsid w:val="004E386A"/>
    <w:rsid w:val="004E3F7D"/>
    <w:rsid w:val="004E7B80"/>
    <w:rsid w:val="004F4CB8"/>
    <w:rsid w:val="004F53F0"/>
    <w:rsid w:val="00501116"/>
    <w:rsid w:val="00503D80"/>
    <w:rsid w:val="00503DD5"/>
    <w:rsid w:val="00505E8B"/>
    <w:rsid w:val="00507B53"/>
    <w:rsid w:val="00512CB8"/>
    <w:rsid w:val="00521E7D"/>
    <w:rsid w:val="005220DC"/>
    <w:rsid w:val="00536C62"/>
    <w:rsid w:val="00540698"/>
    <w:rsid w:val="00546605"/>
    <w:rsid w:val="00555265"/>
    <w:rsid w:val="00562A98"/>
    <w:rsid w:val="00573CBD"/>
    <w:rsid w:val="005741AC"/>
    <w:rsid w:val="00587ED7"/>
    <w:rsid w:val="00590D66"/>
    <w:rsid w:val="005916D9"/>
    <w:rsid w:val="005B6345"/>
    <w:rsid w:val="005C1627"/>
    <w:rsid w:val="005C4F44"/>
    <w:rsid w:val="005C6A45"/>
    <w:rsid w:val="005D0F18"/>
    <w:rsid w:val="005E1CDD"/>
    <w:rsid w:val="005F3038"/>
    <w:rsid w:val="00602204"/>
    <w:rsid w:val="00610CE9"/>
    <w:rsid w:val="006128E0"/>
    <w:rsid w:val="00613B7C"/>
    <w:rsid w:val="00632958"/>
    <w:rsid w:val="00640924"/>
    <w:rsid w:val="006541AC"/>
    <w:rsid w:val="0065704F"/>
    <w:rsid w:val="00672D84"/>
    <w:rsid w:val="0067714B"/>
    <w:rsid w:val="006779E4"/>
    <w:rsid w:val="006879C2"/>
    <w:rsid w:val="00693993"/>
    <w:rsid w:val="006B2BBE"/>
    <w:rsid w:val="006B3C44"/>
    <w:rsid w:val="006B3CEA"/>
    <w:rsid w:val="006C3913"/>
    <w:rsid w:val="006C7592"/>
    <w:rsid w:val="006D6E15"/>
    <w:rsid w:val="006E132E"/>
    <w:rsid w:val="006E2551"/>
    <w:rsid w:val="006E2A1E"/>
    <w:rsid w:val="006F4D2C"/>
    <w:rsid w:val="006F6EF4"/>
    <w:rsid w:val="006F7CC2"/>
    <w:rsid w:val="007047DF"/>
    <w:rsid w:val="00716824"/>
    <w:rsid w:val="007212FD"/>
    <w:rsid w:val="00722A7C"/>
    <w:rsid w:val="00725C8E"/>
    <w:rsid w:val="00726261"/>
    <w:rsid w:val="007273E7"/>
    <w:rsid w:val="0074010B"/>
    <w:rsid w:val="00746B51"/>
    <w:rsid w:val="0076212D"/>
    <w:rsid w:val="007928EA"/>
    <w:rsid w:val="0079459D"/>
    <w:rsid w:val="007B406E"/>
    <w:rsid w:val="007B5558"/>
    <w:rsid w:val="007C155E"/>
    <w:rsid w:val="007C17ED"/>
    <w:rsid w:val="007C46FD"/>
    <w:rsid w:val="007D33FC"/>
    <w:rsid w:val="007D798E"/>
    <w:rsid w:val="007F6CD9"/>
    <w:rsid w:val="0080110C"/>
    <w:rsid w:val="00821215"/>
    <w:rsid w:val="00843712"/>
    <w:rsid w:val="00861729"/>
    <w:rsid w:val="00874AEC"/>
    <w:rsid w:val="008825C3"/>
    <w:rsid w:val="00882E6D"/>
    <w:rsid w:val="0089082C"/>
    <w:rsid w:val="008A14AF"/>
    <w:rsid w:val="008B567E"/>
    <w:rsid w:val="008C26A5"/>
    <w:rsid w:val="008C2816"/>
    <w:rsid w:val="008D6D54"/>
    <w:rsid w:val="008E7BC1"/>
    <w:rsid w:val="008F0531"/>
    <w:rsid w:val="008F7298"/>
    <w:rsid w:val="00905899"/>
    <w:rsid w:val="009107B5"/>
    <w:rsid w:val="00923FB5"/>
    <w:rsid w:val="009260CB"/>
    <w:rsid w:val="00932222"/>
    <w:rsid w:val="00932252"/>
    <w:rsid w:val="00934308"/>
    <w:rsid w:val="0093472E"/>
    <w:rsid w:val="00935651"/>
    <w:rsid w:val="00937764"/>
    <w:rsid w:val="00953397"/>
    <w:rsid w:val="009800C5"/>
    <w:rsid w:val="00992E4D"/>
    <w:rsid w:val="009949BA"/>
    <w:rsid w:val="0099556E"/>
    <w:rsid w:val="009A186E"/>
    <w:rsid w:val="009B0AD4"/>
    <w:rsid w:val="009D04AE"/>
    <w:rsid w:val="009D5CBB"/>
    <w:rsid w:val="009D7277"/>
    <w:rsid w:val="009E3844"/>
    <w:rsid w:val="009E54A4"/>
    <w:rsid w:val="009F1DDB"/>
    <w:rsid w:val="00A009C7"/>
    <w:rsid w:val="00A02350"/>
    <w:rsid w:val="00A1193C"/>
    <w:rsid w:val="00A14930"/>
    <w:rsid w:val="00A21AA7"/>
    <w:rsid w:val="00A30D31"/>
    <w:rsid w:val="00A45F78"/>
    <w:rsid w:val="00A56FBD"/>
    <w:rsid w:val="00A70A77"/>
    <w:rsid w:val="00A73AB8"/>
    <w:rsid w:val="00A858C3"/>
    <w:rsid w:val="00A92256"/>
    <w:rsid w:val="00A95BBB"/>
    <w:rsid w:val="00AE59FA"/>
    <w:rsid w:val="00B03059"/>
    <w:rsid w:val="00B05F6A"/>
    <w:rsid w:val="00B14110"/>
    <w:rsid w:val="00B30832"/>
    <w:rsid w:val="00B35CBB"/>
    <w:rsid w:val="00B377CC"/>
    <w:rsid w:val="00B401BF"/>
    <w:rsid w:val="00B55C7F"/>
    <w:rsid w:val="00B63C1F"/>
    <w:rsid w:val="00B811B8"/>
    <w:rsid w:val="00B95E66"/>
    <w:rsid w:val="00B96E0C"/>
    <w:rsid w:val="00BA1182"/>
    <w:rsid w:val="00BA2E39"/>
    <w:rsid w:val="00BC6A8C"/>
    <w:rsid w:val="00BE3CB4"/>
    <w:rsid w:val="00BE4328"/>
    <w:rsid w:val="00BE7C58"/>
    <w:rsid w:val="00BF42CF"/>
    <w:rsid w:val="00C1310A"/>
    <w:rsid w:val="00C15A0D"/>
    <w:rsid w:val="00C175CF"/>
    <w:rsid w:val="00C23C4D"/>
    <w:rsid w:val="00C30BB6"/>
    <w:rsid w:val="00C31CFE"/>
    <w:rsid w:val="00C32643"/>
    <w:rsid w:val="00C32DEB"/>
    <w:rsid w:val="00C4069F"/>
    <w:rsid w:val="00C45C7E"/>
    <w:rsid w:val="00C53410"/>
    <w:rsid w:val="00C5624E"/>
    <w:rsid w:val="00C6273E"/>
    <w:rsid w:val="00C644D1"/>
    <w:rsid w:val="00C66B82"/>
    <w:rsid w:val="00C73886"/>
    <w:rsid w:val="00C858F6"/>
    <w:rsid w:val="00CA18C3"/>
    <w:rsid w:val="00CA5F0B"/>
    <w:rsid w:val="00CB564A"/>
    <w:rsid w:val="00CB793A"/>
    <w:rsid w:val="00CC43A4"/>
    <w:rsid w:val="00CD3804"/>
    <w:rsid w:val="00CE28AF"/>
    <w:rsid w:val="00CE3379"/>
    <w:rsid w:val="00CE37A6"/>
    <w:rsid w:val="00CF03C8"/>
    <w:rsid w:val="00D1239C"/>
    <w:rsid w:val="00D30322"/>
    <w:rsid w:val="00D376A9"/>
    <w:rsid w:val="00D67556"/>
    <w:rsid w:val="00D76369"/>
    <w:rsid w:val="00D80883"/>
    <w:rsid w:val="00D84DA2"/>
    <w:rsid w:val="00D861EA"/>
    <w:rsid w:val="00D935F1"/>
    <w:rsid w:val="00D941DC"/>
    <w:rsid w:val="00D97AA5"/>
    <w:rsid w:val="00DA2CEF"/>
    <w:rsid w:val="00DA3671"/>
    <w:rsid w:val="00DA6DCD"/>
    <w:rsid w:val="00DA7CFC"/>
    <w:rsid w:val="00DB6ACA"/>
    <w:rsid w:val="00DC1887"/>
    <w:rsid w:val="00DF4BF0"/>
    <w:rsid w:val="00DF74D9"/>
    <w:rsid w:val="00E12680"/>
    <w:rsid w:val="00E151A6"/>
    <w:rsid w:val="00E239CA"/>
    <w:rsid w:val="00E3236F"/>
    <w:rsid w:val="00E419C2"/>
    <w:rsid w:val="00E4286E"/>
    <w:rsid w:val="00E44B9F"/>
    <w:rsid w:val="00E46BE6"/>
    <w:rsid w:val="00E81C9B"/>
    <w:rsid w:val="00E823BC"/>
    <w:rsid w:val="00EA1DA0"/>
    <w:rsid w:val="00EA55AF"/>
    <w:rsid w:val="00EA7E72"/>
    <w:rsid w:val="00EB1906"/>
    <w:rsid w:val="00EB5B39"/>
    <w:rsid w:val="00EC06EF"/>
    <w:rsid w:val="00EC7FC1"/>
    <w:rsid w:val="00ED1C26"/>
    <w:rsid w:val="00ED46F3"/>
    <w:rsid w:val="00EE59E5"/>
    <w:rsid w:val="00EE7DE9"/>
    <w:rsid w:val="00EF1A8D"/>
    <w:rsid w:val="00EF32E2"/>
    <w:rsid w:val="00F0673C"/>
    <w:rsid w:val="00F11DC3"/>
    <w:rsid w:val="00F146CF"/>
    <w:rsid w:val="00F15E73"/>
    <w:rsid w:val="00F31E69"/>
    <w:rsid w:val="00F41A8A"/>
    <w:rsid w:val="00F4476D"/>
    <w:rsid w:val="00F50B1B"/>
    <w:rsid w:val="00F5277D"/>
    <w:rsid w:val="00F57360"/>
    <w:rsid w:val="00F64337"/>
    <w:rsid w:val="00F66AC5"/>
    <w:rsid w:val="00F8464A"/>
    <w:rsid w:val="00F95708"/>
    <w:rsid w:val="00F95FA4"/>
    <w:rsid w:val="00FA01E1"/>
    <w:rsid w:val="00FA5816"/>
    <w:rsid w:val="00FD0DB3"/>
    <w:rsid w:val="00FD3AE9"/>
    <w:rsid w:val="00FD54C6"/>
    <w:rsid w:val="00FE23D6"/>
    <w:rsid w:val="00FE3EC1"/>
    <w:rsid w:val="00FF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7949AE"/>
  <w15:docId w15:val="{87982F75-43BB-4C7C-BAFA-E701600FD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79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paragraph" w:styleId="a8">
    <w:name w:val="Balloon Text"/>
    <w:basedOn w:val="a"/>
    <w:link w:val="a9"/>
    <w:uiPriority w:val="99"/>
    <w:semiHidden/>
    <w:unhideWhenUsed/>
    <w:rsid w:val="003C2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2B52"/>
    <w:rPr>
      <w:rFonts w:ascii="Segoe UI" w:hAnsi="Segoe UI" w:cs="Segoe UI"/>
      <w:sz w:val="18"/>
      <w:szCs w:val="18"/>
    </w:rPr>
  </w:style>
  <w:style w:type="paragraph" w:customStyle="1" w:styleId="aa">
    <w:name w:val="А)КрСтр"/>
    <w:basedOn w:val="a"/>
    <w:link w:val="ab"/>
    <w:qFormat/>
    <w:rsid w:val="004C00C6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customStyle="1" w:styleId="ab">
    <w:name w:val="А)КрСтр Знак"/>
    <w:basedOn w:val="a0"/>
    <w:link w:val="aa"/>
    <w:rsid w:val="004C00C6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71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DE92B239458454885D07DEB3AD3B6DF" ma:contentTypeVersion="0" ma:contentTypeDescription="Создание документа." ma:contentTypeScope="" ma:versionID="166d76420d54f92148d85de94ee0f67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236A355-DF64-4A3B-BC1E-C4F0596524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3D9FCD9-1D77-4A72-8267-EA72D7878A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B82911-E28E-4187-908E-408776A24A2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24EB894-D3A2-49A9-AAA9-5A6B5EC95CD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Меницкая Анастасия Александровна</dc:creator>
  <cp:lastModifiedBy>Admin</cp:lastModifiedBy>
  <cp:revision>2</cp:revision>
  <cp:lastPrinted>2021-09-17T13:41:00Z</cp:lastPrinted>
  <dcterms:created xsi:type="dcterms:W3CDTF">2022-12-22T07:57:00Z</dcterms:created>
  <dcterms:modified xsi:type="dcterms:W3CDTF">2022-12-22T07:57:00Z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0x0101002DE92B239458454885D07DEB3AD3B6DF</vt:lpwstr>
  </property>
</Properties>
</file>