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D9" w:rsidRPr="00B255D9" w:rsidRDefault="00B255D9" w:rsidP="00B255D9">
      <w:pPr>
        <w:spacing w:after="0" w:line="240" w:lineRule="auto"/>
        <w:ind w:left="2977"/>
        <w:jc w:val="right"/>
        <w:rPr>
          <w:rFonts w:ascii="Times New Roman" w:hAnsi="Times New Roman" w:cs="Times New Roman"/>
          <w:b/>
          <w:sz w:val="24"/>
          <w:szCs w:val="24"/>
        </w:rPr>
      </w:pPr>
      <w:r w:rsidRPr="00B255D9">
        <w:rPr>
          <w:rFonts w:ascii="Times New Roman" w:hAnsi="Times New Roman" w:cs="Times New Roman"/>
          <w:b/>
          <w:sz w:val="24"/>
          <w:szCs w:val="24"/>
        </w:rPr>
        <w:t>Приложение № 1</w:t>
      </w:r>
    </w:p>
    <w:p w:rsidR="00B255D9" w:rsidRPr="00B255D9" w:rsidRDefault="00B255D9" w:rsidP="00B255D9">
      <w:pPr>
        <w:autoSpaceDE w:val="0"/>
        <w:autoSpaceDN w:val="0"/>
        <w:adjustRightInd w:val="0"/>
        <w:spacing w:after="0" w:line="240" w:lineRule="auto"/>
        <w:ind w:left="6946"/>
        <w:rPr>
          <w:rFonts w:ascii="Times New Roman" w:hAnsi="Times New Roman" w:cs="Times New Roman"/>
          <w:sz w:val="24"/>
          <w:szCs w:val="24"/>
        </w:rPr>
      </w:pPr>
    </w:p>
    <w:p w:rsidR="00DE764D" w:rsidRDefault="00B255D9" w:rsidP="00B255D9">
      <w:pPr>
        <w:pStyle w:val="30"/>
        <w:shd w:val="clear" w:color="auto" w:fill="auto"/>
        <w:spacing w:line="240" w:lineRule="auto"/>
        <w:ind w:left="980" w:right="940" w:firstLine="960"/>
        <w:rPr>
          <w:rFonts w:cs="Times New Roman"/>
          <w:sz w:val="24"/>
          <w:szCs w:val="24"/>
        </w:rPr>
      </w:pPr>
      <w:r w:rsidRPr="00DE764D">
        <w:rPr>
          <w:rFonts w:cs="Times New Roman"/>
          <w:sz w:val="24"/>
          <w:szCs w:val="24"/>
        </w:rPr>
        <w:t xml:space="preserve">Перечень государственных </w:t>
      </w:r>
      <w:r w:rsidR="00DE764D" w:rsidRPr="00DE764D">
        <w:rPr>
          <w:rFonts w:cs="Times New Roman"/>
          <w:sz w:val="24"/>
          <w:szCs w:val="24"/>
        </w:rPr>
        <w:t>услуг</w:t>
      </w:r>
    </w:p>
    <w:p w:rsidR="00DE764D" w:rsidRDefault="00DE764D" w:rsidP="00B255D9">
      <w:pPr>
        <w:pStyle w:val="30"/>
        <w:shd w:val="clear" w:color="auto" w:fill="auto"/>
        <w:spacing w:line="240" w:lineRule="auto"/>
        <w:ind w:left="980" w:right="940" w:firstLine="960"/>
        <w:rPr>
          <w:rFonts w:cs="Times New Roman"/>
          <w:sz w:val="24"/>
          <w:szCs w:val="24"/>
        </w:rPr>
      </w:pPr>
      <w:r w:rsidRPr="00DE764D">
        <w:rPr>
          <w:rFonts w:cs="Times New Roman"/>
          <w:sz w:val="24"/>
          <w:szCs w:val="24"/>
        </w:rPr>
        <w:t xml:space="preserve"> Федеральной налоговой службы, доступных для жителей республики в офисах</w:t>
      </w:r>
    </w:p>
    <w:p w:rsidR="00B255D9" w:rsidRPr="00DE764D" w:rsidRDefault="00DE764D" w:rsidP="00B255D9">
      <w:pPr>
        <w:pStyle w:val="30"/>
        <w:shd w:val="clear" w:color="auto" w:fill="auto"/>
        <w:spacing w:line="240" w:lineRule="auto"/>
        <w:ind w:left="980" w:right="940" w:firstLine="960"/>
        <w:rPr>
          <w:rFonts w:cs="Times New Roman"/>
          <w:sz w:val="24"/>
          <w:szCs w:val="24"/>
        </w:rPr>
      </w:pPr>
      <w:bookmarkStart w:id="0" w:name="_GoBack"/>
      <w:bookmarkEnd w:id="0"/>
      <w:r w:rsidRPr="00DE764D">
        <w:rPr>
          <w:rFonts w:cs="Times New Roman"/>
          <w:sz w:val="24"/>
          <w:szCs w:val="24"/>
        </w:rPr>
        <w:t xml:space="preserve"> </w:t>
      </w:r>
      <w:r w:rsidRPr="00DE764D">
        <w:rPr>
          <w:sz w:val="24"/>
          <w:szCs w:val="24"/>
        </w:rPr>
        <w:t>ГАУ Республики Коми «Многофункциональный центр предоставления государственных и муниципальных услуг Республики Коми»</w:t>
      </w:r>
    </w:p>
    <w:tbl>
      <w:tblPr>
        <w:tblpPr w:leftFromText="180" w:rightFromText="180" w:vertAnchor="text" w:horzAnchor="margin" w:tblpXSpec="center" w:tblpY="173"/>
        <w:tblW w:w="10031" w:type="dxa"/>
        <w:tblLook w:val="00A0" w:firstRow="1" w:lastRow="0" w:firstColumn="1" w:lastColumn="0" w:noHBand="0" w:noVBand="0"/>
      </w:tblPr>
      <w:tblGrid>
        <w:gridCol w:w="817"/>
        <w:gridCol w:w="9214"/>
      </w:tblGrid>
      <w:tr w:rsidR="00B255D9" w:rsidRPr="00B255D9" w:rsidTr="00C07B07">
        <w:trPr>
          <w:trHeight w:val="699"/>
        </w:trPr>
        <w:tc>
          <w:tcPr>
            <w:tcW w:w="817" w:type="dxa"/>
            <w:tcBorders>
              <w:top w:val="single" w:sz="4" w:space="0" w:color="auto"/>
              <w:left w:val="single" w:sz="4" w:space="0" w:color="auto"/>
              <w:bottom w:val="single" w:sz="4" w:space="0" w:color="auto"/>
              <w:right w:val="single" w:sz="4" w:space="0" w:color="auto"/>
            </w:tcBorders>
            <w:vAlign w:val="center"/>
          </w:tcPr>
          <w:p w:rsidR="00B255D9" w:rsidRPr="00B255D9" w:rsidRDefault="00B255D9" w:rsidP="00C07B07">
            <w:pPr>
              <w:spacing w:after="0" w:line="240" w:lineRule="auto"/>
              <w:jc w:val="center"/>
              <w:rPr>
                <w:rFonts w:ascii="Times New Roman" w:hAnsi="Times New Roman" w:cs="Times New Roman"/>
                <w:b/>
                <w:sz w:val="24"/>
                <w:szCs w:val="24"/>
              </w:rPr>
            </w:pPr>
            <w:r w:rsidRPr="00B255D9">
              <w:rPr>
                <w:rFonts w:ascii="Times New Roman" w:hAnsi="Times New Roman" w:cs="Times New Roman"/>
                <w:b/>
                <w:sz w:val="24"/>
                <w:szCs w:val="24"/>
              </w:rPr>
              <w:t>№ п/п</w:t>
            </w:r>
          </w:p>
        </w:tc>
        <w:tc>
          <w:tcPr>
            <w:tcW w:w="9214" w:type="dxa"/>
            <w:tcBorders>
              <w:top w:val="single" w:sz="4" w:space="0" w:color="auto"/>
              <w:left w:val="nil"/>
              <w:bottom w:val="single" w:sz="4" w:space="0" w:color="auto"/>
              <w:right w:val="single" w:sz="4" w:space="0" w:color="auto"/>
            </w:tcBorders>
            <w:vAlign w:val="center"/>
          </w:tcPr>
          <w:p w:rsidR="00B255D9" w:rsidRPr="00B255D9" w:rsidRDefault="00B255D9" w:rsidP="00C07B07">
            <w:pPr>
              <w:spacing w:after="0" w:line="240" w:lineRule="auto"/>
              <w:jc w:val="center"/>
              <w:rPr>
                <w:rFonts w:ascii="Times New Roman" w:hAnsi="Times New Roman" w:cs="Times New Roman"/>
                <w:b/>
                <w:bCs/>
                <w:sz w:val="24"/>
                <w:szCs w:val="24"/>
              </w:rPr>
            </w:pPr>
            <w:r w:rsidRPr="00B255D9">
              <w:rPr>
                <w:rFonts w:ascii="Times New Roman" w:hAnsi="Times New Roman" w:cs="Times New Roman"/>
                <w:b/>
                <w:bCs/>
                <w:sz w:val="24"/>
                <w:szCs w:val="24"/>
              </w:rPr>
              <w:t>Наименование услуги</w:t>
            </w:r>
          </w:p>
        </w:tc>
      </w:tr>
      <w:tr w:rsidR="00B255D9" w:rsidRPr="00B255D9" w:rsidTr="00C07B07">
        <w:trPr>
          <w:trHeight w:val="596"/>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bCs/>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r>
      <w:tr w:rsidR="00B255D9" w:rsidRPr="00B255D9" w:rsidTr="00C07B07">
        <w:trPr>
          <w:trHeight w:val="549"/>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bCs/>
                <w:sz w:val="24"/>
                <w:szCs w:val="24"/>
              </w:rPr>
              <w:t>Предоставление заинтересованным лицам сведений, содержащихся в реестре дисквалифицированных лиц</w:t>
            </w:r>
          </w:p>
        </w:tc>
      </w:tr>
      <w:tr w:rsidR="00B255D9" w:rsidRPr="00B255D9" w:rsidTr="00C07B07">
        <w:trPr>
          <w:trHeight w:val="930"/>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3</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r>
      <w:tr w:rsidR="00B255D9" w:rsidRPr="00B255D9" w:rsidTr="00C07B07">
        <w:trPr>
          <w:trHeight w:val="458"/>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4</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tc>
      </w:tr>
      <w:tr w:rsidR="00B255D9" w:rsidRPr="00B255D9" w:rsidTr="00C07B07">
        <w:trPr>
          <w:trHeight w:val="705"/>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5</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tc>
      </w:tr>
      <w:tr w:rsidR="00B255D9" w:rsidRPr="00B255D9" w:rsidTr="00C07B07">
        <w:trPr>
          <w:trHeight w:val="516"/>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6</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highlight w:val="cyan"/>
              </w:rPr>
            </w:pPr>
            <w:r w:rsidRPr="00B255D9">
              <w:rPr>
                <w:rFonts w:ascii="Times New Roman" w:hAnsi="Times New Roman" w:cs="Times New Roman"/>
                <w:sz w:val="24"/>
                <w:szCs w:val="24"/>
              </w:rPr>
              <w:t>Прием заявления</w:t>
            </w:r>
            <w:r w:rsidRPr="00B255D9">
              <w:rPr>
                <w:rFonts w:ascii="Times New Roman" w:hAnsi="Times New Roman" w:cs="Times New Roman"/>
                <w:sz w:val="24"/>
                <w:szCs w:val="24"/>
                <w:lang w:eastAsia="ru-RU"/>
              </w:rPr>
              <w:t xml:space="preserve"> налогоплательщика – физического лица </w:t>
            </w:r>
            <w:r w:rsidRPr="00B255D9">
              <w:rPr>
                <w:rFonts w:ascii="Times New Roman" w:hAnsi="Times New Roman" w:cs="Times New Roman"/>
                <w:sz w:val="24"/>
                <w:szCs w:val="24"/>
              </w:rPr>
              <w:t>о предоставлении налоговой льготы по транспортному налогу, земельному налогу, налогу на имущество физических лиц</w:t>
            </w:r>
          </w:p>
        </w:tc>
      </w:tr>
      <w:tr w:rsidR="00B255D9" w:rsidRPr="00B255D9" w:rsidTr="00C07B07">
        <w:trPr>
          <w:trHeight w:val="535"/>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7</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tc>
      </w:tr>
      <w:tr w:rsidR="00B255D9" w:rsidRPr="00B255D9" w:rsidTr="00C07B07">
        <w:trPr>
          <w:trHeight w:val="525"/>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8</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уведомления о выбранном земельном участке, в отношении которого применяется налоговый вычет по земельному налогу</w:t>
            </w:r>
          </w:p>
        </w:tc>
      </w:tr>
      <w:tr w:rsidR="00B255D9" w:rsidRPr="00B255D9" w:rsidTr="00C07B07">
        <w:trPr>
          <w:trHeight w:val="416"/>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9</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заявления о выдаче налогового уведомления</w:t>
            </w:r>
          </w:p>
        </w:tc>
      </w:tr>
      <w:tr w:rsidR="00B255D9" w:rsidRPr="00B255D9" w:rsidTr="00C07B07">
        <w:trPr>
          <w:trHeight w:val="416"/>
        </w:trPr>
        <w:tc>
          <w:tcPr>
            <w:tcW w:w="817" w:type="dxa"/>
            <w:tcBorders>
              <w:top w:val="nil"/>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10</w:t>
            </w:r>
          </w:p>
        </w:tc>
        <w:tc>
          <w:tcPr>
            <w:tcW w:w="9214" w:type="dxa"/>
            <w:tcBorders>
              <w:top w:val="nil"/>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заявления о гибели или уничтожении объекта налогообложения по налогу на имущество физических лиц</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11</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от налогоплательщиков налоговых деклараций по налогу на доходы физических лиц (форма 3–НДФЛ) на бумажном носителе</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12</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lang w:eastAsia="ru-RU"/>
              </w:rPr>
              <w:t>Прием заявления физического лица о постановке на учет в налоговом органе и выдача физическому лицу выписки из Единого государственного реестра налогоплательщиков о постановке на учет в налоговом органе</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13</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заявления о предоставлении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lastRenderedPageBreak/>
              <w:t>14</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sz w:val="24"/>
                <w:szCs w:val="24"/>
              </w:rPr>
              <w:t>Прием заявления о предоставлении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15</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sz w:val="24"/>
                <w:szCs w:val="24"/>
              </w:rPr>
              <w:t xml:space="preserve">Прием сообщения о наличии у </w:t>
            </w:r>
            <w:r w:rsidRPr="00B255D9">
              <w:rPr>
                <w:rFonts w:ascii="Times New Roman" w:hAnsi="Times New Roman" w:cs="Times New Roman"/>
                <w:sz w:val="24"/>
                <w:szCs w:val="24"/>
                <w:lang w:eastAsia="ru-RU"/>
              </w:rPr>
              <w:t xml:space="preserve">налогоплательщика – физического лица </w:t>
            </w:r>
            <w:r w:rsidRPr="00B255D9">
              <w:rPr>
                <w:rFonts w:ascii="Times New Roman" w:hAnsi="Times New Roman" w:cs="Times New Roman"/>
                <w:sz w:val="24"/>
                <w:szCs w:val="24"/>
              </w:rPr>
              <w:t>объектов недвижимого имущества и (или) транспортных средств, признаваемых объектами налогообложения по соответствующим налогам</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16</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Style w:val="2"/>
                <w:rFonts w:eastAsia="Arial Unicode MS"/>
                <w:u w:val="none"/>
                <w:lang w:val="ru-RU"/>
              </w:rPr>
              <w:t xml:space="preserve">Прием заявления </w:t>
            </w:r>
            <w:r w:rsidRPr="00B255D9">
              <w:rPr>
                <w:rFonts w:ascii="Times New Roman" w:hAnsi="Times New Roman" w:cs="Times New Roman"/>
                <w:sz w:val="24"/>
                <w:szCs w:val="24"/>
                <w:lang w:eastAsia="ru-RU"/>
              </w:rPr>
              <w:t xml:space="preserve">налогоплательщика – физического лица </w:t>
            </w:r>
            <w:r w:rsidRPr="00B255D9">
              <w:rPr>
                <w:rStyle w:val="2"/>
                <w:rFonts w:eastAsia="Arial Unicode MS"/>
                <w:u w:val="none"/>
                <w:lang w:val="ru-RU"/>
              </w:rPr>
              <w:t>о гибели или уничтожении объекта налогообложения по транспортному налогу</w:t>
            </w:r>
          </w:p>
        </w:tc>
      </w:tr>
      <w:tr w:rsidR="00B255D9" w:rsidRPr="00B255D9" w:rsidTr="00C07B07">
        <w:trPr>
          <w:trHeight w:val="59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17</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 xml:space="preserve">Прием заявления </w:t>
            </w:r>
            <w:r w:rsidRPr="00B255D9">
              <w:rPr>
                <w:rFonts w:ascii="Times New Roman" w:hAnsi="Times New Roman" w:cs="Times New Roman"/>
                <w:sz w:val="24"/>
                <w:szCs w:val="24"/>
                <w:lang w:eastAsia="ru-RU"/>
              </w:rPr>
              <w:t xml:space="preserve">налогоплательщика – физического лица </w:t>
            </w:r>
            <w:r w:rsidRPr="00B255D9">
              <w:rPr>
                <w:rFonts w:ascii="Times New Roman" w:hAnsi="Times New Roman" w:cs="Times New Roman"/>
                <w:sz w:val="24"/>
                <w:szCs w:val="24"/>
              </w:rPr>
              <w:t>о прекращении исчисления транспортного налога в связи с принудительным изъятием транспортного средства</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18</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19</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napToGrid w:val="0"/>
                <w:sz w:val="24"/>
                <w:szCs w:val="24"/>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tc>
      </w:tr>
      <w:tr w:rsidR="00B255D9" w:rsidRPr="00B255D9" w:rsidTr="00C07B07">
        <w:trPr>
          <w:trHeight w:val="416"/>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20</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bCs/>
                <w:sz w:val="24"/>
                <w:szCs w:val="24"/>
              </w:rPr>
            </w:pPr>
            <w:r w:rsidRPr="00B255D9">
              <w:rPr>
                <w:rFonts w:ascii="Times New Roman" w:hAnsi="Times New Roman" w:cs="Times New Roman"/>
                <w:bCs/>
                <w:sz w:val="24"/>
                <w:szCs w:val="24"/>
              </w:rPr>
              <w:t>Прием заявления на применение патентной системы налогообложения индивидуальным предпринимателем</w:t>
            </w:r>
          </w:p>
        </w:tc>
      </w:tr>
      <w:tr w:rsidR="00B255D9" w:rsidRPr="00B255D9" w:rsidTr="00B255D9">
        <w:trPr>
          <w:trHeight w:val="443"/>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21</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заявления о предоставлении справки о принадлежности сумм денежных средств, перечисленных в качестве единого налогового платежа</w:t>
            </w:r>
            <w:r w:rsidRPr="00B255D9">
              <w:rPr>
                <w:rStyle w:val="a5"/>
                <w:rFonts w:ascii="Times New Roman" w:hAnsi="Times New Roman" w:cs="Times New Roman"/>
                <w:sz w:val="24"/>
                <w:szCs w:val="24"/>
              </w:rPr>
              <w:t xml:space="preserve"> </w:t>
            </w:r>
          </w:p>
        </w:tc>
      </w:tr>
      <w:tr w:rsidR="00B255D9" w:rsidRPr="00B255D9" w:rsidTr="00C07B07">
        <w:trPr>
          <w:trHeight w:val="905"/>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22</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p>
        </w:tc>
      </w:tr>
      <w:tr w:rsidR="00B255D9" w:rsidRPr="00B255D9" w:rsidTr="00C07B07">
        <w:trPr>
          <w:trHeight w:val="905"/>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23</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lang w:eastAsia="ru-RU"/>
              </w:rPr>
              <w:t>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p>
        </w:tc>
      </w:tr>
      <w:tr w:rsidR="00B255D9" w:rsidRPr="00B255D9" w:rsidTr="00C07B07">
        <w:trPr>
          <w:trHeight w:val="505"/>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24</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 xml:space="preserve">Прием уведомления налогоплательщика </w:t>
            </w:r>
            <w:r w:rsidRPr="00B255D9">
              <w:rPr>
                <w:rFonts w:ascii="Times New Roman" w:hAnsi="Times New Roman" w:cs="Times New Roman"/>
                <w:sz w:val="24"/>
                <w:szCs w:val="24"/>
                <w:lang w:eastAsia="ru-RU"/>
              </w:rPr>
              <w:t xml:space="preserve">– </w:t>
            </w:r>
            <w:r w:rsidRPr="00B255D9">
              <w:rPr>
                <w:rFonts w:ascii="Times New Roman" w:hAnsi="Times New Roman" w:cs="Times New Roman"/>
                <w:sz w:val="24"/>
                <w:szCs w:val="24"/>
              </w:rPr>
              <w:t>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p>
        </w:tc>
      </w:tr>
      <w:tr w:rsidR="00B255D9" w:rsidRPr="00B255D9" w:rsidTr="00B255D9">
        <w:trPr>
          <w:trHeight w:val="400"/>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25</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Прием заявления о доступе к личному кабинету налогоплательщика для физических лиц</w:t>
            </w:r>
          </w:p>
        </w:tc>
      </w:tr>
      <w:tr w:rsidR="00B255D9" w:rsidRPr="00B255D9" w:rsidTr="00B255D9">
        <w:trPr>
          <w:trHeight w:val="263"/>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26</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Прием уведомления о переходе на упрощенную систему налогообложения</w:t>
            </w:r>
          </w:p>
        </w:tc>
      </w:tr>
      <w:tr w:rsidR="00B255D9" w:rsidRPr="00B255D9" w:rsidTr="00B255D9">
        <w:trPr>
          <w:trHeight w:val="565"/>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27</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Прием уведомления о переходе на систему налогообложения для сельскохозяйственных товаропроизводителей</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28</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Информирование физических лиц о начислениях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29</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 xml:space="preserve">Прием налоговых платежей в безналичной форме посредством </w:t>
            </w:r>
            <w:r w:rsidRPr="00B255D9">
              <w:rPr>
                <w:rFonts w:ascii="Times New Roman" w:hAnsi="Times New Roman" w:cs="Times New Roman"/>
                <w:sz w:val="24"/>
                <w:szCs w:val="24"/>
                <w:lang w:val="en-US" w:eastAsia="ru-RU"/>
              </w:rPr>
              <w:t>POS</w:t>
            </w:r>
            <w:r w:rsidRPr="00B255D9">
              <w:rPr>
                <w:rFonts w:ascii="Times New Roman" w:hAnsi="Times New Roman" w:cs="Times New Roman"/>
                <w:sz w:val="24"/>
                <w:szCs w:val="24"/>
                <w:lang w:eastAsia="ru-RU"/>
              </w:rPr>
              <w:t>–терминалов на основании платежных документов заявителей</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30</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lang w:eastAsia="ru-RU"/>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31</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lang w:eastAsia="ru-RU"/>
              </w:rPr>
            </w:pPr>
            <w:r w:rsidRPr="00B255D9">
              <w:rPr>
                <w:rFonts w:ascii="Times New Roman" w:hAnsi="Times New Roman" w:cs="Times New Roman"/>
                <w:sz w:val="24"/>
                <w:szCs w:val="24"/>
              </w:rPr>
              <w:t>Прием налоговой декларации по налогу, уплачиваемому в связи с применением упрощенной системы налогообложения</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lastRenderedPageBreak/>
              <w:t>32</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уведомления о выбранном объекте налогообложения, в отношении которого предоставляется налоговая льгота по транспортному налогу</w:t>
            </w:r>
          </w:p>
        </w:tc>
      </w:tr>
      <w:tr w:rsidR="00B255D9" w:rsidRPr="00B255D9" w:rsidTr="00C07B07">
        <w:trPr>
          <w:trHeight w:val="697"/>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rPr>
            </w:pPr>
            <w:r w:rsidRPr="00B255D9">
              <w:rPr>
                <w:rFonts w:ascii="Times New Roman" w:hAnsi="Times New Roman" w:cs="Times New Roman"/>
                <w:sz w:val="24"/>
                <w:szCs w:val="24"/>
              </w:rPr>
              <w:t>33</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autoSpaceDE w:val="0"/>
              <w:autoSpaceDN w:val="0"/>
              <w:adjustRightInd w:val="0"/>
              <w:spacing w:after="0" w:line="240" w:lineRule="auto"/>
              <w:jc w:val="both"/>
              <w:rPr>
                <w:rFonts w:ascii="Times New Roman" w:hAnsi="Times New Roman" w:cs="Times New Roman"/>
                <w:sz w:val="24"/>
                <w:szCs w:val="24"/>
              </w:rPr>
            </w:pPr>
            <w:r w:rsidRPr="00B255D9">
              <w:rPr>
                <w:rFonts w:ascii="Times New Roman" w:hAnsi="Times New Roman" w:cs="Times New Roman"/>
                <w:sz w:val="24"/>
                <w:szCs w:val="24"/>
              </w:rPr>
              <w:t>Прием уведомления налогоплательщика налога на имущество физических лиц о площади помещений, исходя из которой определена его доля в праве общей собственности на объект незавершенного строительства, проектируемым назначением которого является многоквартирный дом</w:t>
            </w:r>
          </w:p>
        </w:tc>
      </w:tr>
      <w:tr w:rsidR="00B255D9" w:rsidRPr="00B255D9" w:rsidTr="00C07B07">
        <w:trPr>
          <w:trHeight w:val="594"/>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lang w:eastAsia="ru-RU"/>
              </w:rPr>
            </w:pPr>
            <w:r w:rsidRPr="00B255D9">
              <w:rPr>
                <w:rFonts w:ascii="Times New Roman" w:hAnsi="Times New Roman" w:cs="Times New Roman"/>
                <w:sz w:val="24"/>
                <w:szCs w:val="24"/>
                <w:lang w:eastAsia="ru-RU"/>
              </w:rPr>
              <w:t>34</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pStyle w:val="ConsPlusNormal"/>
              <w:ind w:firstLine="0"/>
              <w:jc w:val="both"/>
              <w:rPr>
                <w:rFonts w:ascii="Times New Roman" w:hAnsi="Times New Roman" w:cs="Times New Roman"/>
                <w:sz w:val="24"/>
                <w:szCs w:val="24"/>
              </w:rPr>
            </w:pPr>
            <w:r w:rsidRPr="00B255D9">
              <w:rPr>
                <w:rFonts w:ascii="Times New Roman" w:hAnsi="Times New Roman" w:cs="Times New Roman"/>
                <w:sz w:val="24"/>
                <w:szCs w:val="24"/>
              </w:rPr>
              <w:t>Прием заявления физического лица о постановке на учет (снятии с учета) в налоговом органе в качестве плательщика страховых взносов (в качестве медиатора)</w:t>
            </w:r>
          </w:p>
        </w:tc>
      </w:tr>
      <w:tr w:rsidR="00B255D9" w:rsidRPr="00B255D9" w:rsidTr="00C07B07">
        <w:trPr>
          <w:trHeight w:val="594"/>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lang w:eastAsia="ru-RU"/>
              </w:rPr>
            </w:pPr>
            <w:r w:rsidRPr="00B255D9">
              <w:rPr>
                <w:rFonts w:ascii="Times New Roman" w:hAnsi="Times New Roman" w:cs="Times New Roman"/>
                <w:sz w:val="24"/>
                <w:szCs w:val="24"/>
                <w:lang w:eastAsia="ru-RU"/>
              </w:rPr>
              <w:t>35</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pStyle w:val="ConsPlusNormal"/>
              <w:ind w:firstLine="0"/>
              <w:jc w:val="both"/>
              <w:rPr>
                <w:rFonts w:ascii="Times New Roman" w:hAnsi="Times New Roman" w:cs="Times New Roman"/>
                <w:sz w:val="24"/>
                <w:szCs w:val="24"/>
              </w:rPr>
            </w:pPr>
            <w:r w:rsidRPr="00B255D9">
              <w:rPr>
                <w:rFonts w:ascii="Times New Roman" w:hAnsi="Times New Roman" w:cs="Times New Roman"/>
                <w:sz w:val="24"/>
                <w:szCs w:val="24"/>
              </w:rPr>
              <w:t>Прием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w:t>
            </w:r>
          </w:p>
        </w:tc>
      </w:tr>
      <w:tr w:rsidR="00B255D9" w:rsidRPr="00B255D9" w:rsidTr="00C07B07">
        <w:trPr>
          <w:trHeight w:val="594"/>
        </w:trPr>
        <w:tc>
          <w:tcPr>
            <w:tcW w:w="817" w:type="dxa"/>
            <w:tcBorders>
              <w:top w:val="single" w:sz="4" w:space="0" w:color="auto"/>
              <w:left w:val="single" w:sz="4" w:space="0" w:color="auto"/>
              <w:bottom w:val="single" w:sz="4" w:space="0" w:color="auto"/>
              <w:right w:val="single" w:sz="4" w:space="0" w:color="auto"/>
            </w:tcBorders>
            <w:noWrap/>
          </w:tcPr>
          <w:p w:rsidR="00B255D9" w:rsidRPr="00B255D9" w:rsidRDefault="00B255D9" w:rsidP="00C07B07">
            <w:pPr>
              <w:spacing w:after="0" w:line="240" w:lineRule="auto"/>
              <w:jc w:val="center"/>
              <w:rPr>
                <w:rFonts w:ascii="Times New Roman" w:hAnsi="Times New Roman" w:cs="Times New Roman"/>
                <w:sz w:val="24"/>
                <w:szCs w:val="24"/>
                <w:lang w:eastAsia="ru-RU"/>
              </w:rPr>
            </w:pPr>
            <w:r w:rsidRPr="00B255D9">
              <w:rPr>
                <w:rFonts w:ascii="Times New Roman" w:hAnsi="Times New Roman" w:cs="Times New Roman"/>
                <w:sz w:val="24"/>
                <w:szCs w:val="24"/>
                <w:lang w:eastAsia="ru-RU"/>
              </w:rPr>
              <w:t>36</w:t>
            </w:r>
          </w:p>
        </w:tc>
        <w:tc>
          <w:tcPr>
            <w:tcW w:w="9214" w:type="dxa"/>
            <w:tcBorders>
              <w:top w:val="single" w:sz="4" w:space="0" w:color="auto"/>
              <w:left w:val="nil"/>
              <w:bottom w:val="single" w:sz="4" w:space="0" w:color="auto"/>
              <w:right w:val="single" w:sz="4" w:space="0" w:color="auto"/>
            </w:tcBorders>
          </w:tcPr>
          <w:p w:rsidR="00B255D9" w:rsidRPr="00B255D9" w:rsidRDefault="00B255D9" w:rsidP="00B255D9">
            <w:pPr>
              <w:pStyle w:val="ConsPlusNormal"/>
              <w:ind w:firstLine="0"/>
              <w:jc w:val="both"/>
              <w:rPr>
                <w:rFonts w:ascii="Times New Roman" w:hAnsi="Times New Roman" w:cs="Times New Roman"/>
                <w:sz w:val="24"/>
                <w:szCs w:val="24"/>
              </w:rPr>
            </w:pPr>
            <w:r w:rsidRPr="00B255D9">
              <w:rPr>
                <w:rFonts w:ascii="Times New Roman" w:hAnsi="Times New Roman" w:cs="Times New Roman"/>
                <w:sz w:val="24"/>
                <w:szCs w:val="24"/>
              </w:rPr>
              <w:t>Прием ходатайства о восстановлении пропущенного срока на представление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w:t>
            </w:r>
          </w:p>
        </w:tc>
      </w:tr>
    </w:tbl>
    <w:p w:rsidR="00DC0721" w:rsidRDefault="00DC0721"/>
    <w:sectPr w:rsidR="00DC0721" w:rsidSect="00B255D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5D9" w:rsidRDefault="00B255D9" w:rsidP="00B255D9">
      <w:pPr>
        <w:spacing w:after="0" w:line="240" w:lineRule="auto"/>
      </w:pPr>
      <w:r>
        <w:separator/>
      </w:r>
    </w:p>
  </w:endnote>
  <w:endnote w:type="continuationSeparator" w:id="0">
    <w:p w:rsidR="00B255D9" w:rsidRDefault="00B255D9" w:rsidP="00B2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5D9" w:rsidRDefault="00B255D9" w:rsidP="00B255D9">
      <w:pPr>
        <w:spacing w:after="0" w:line="240" w:lineRule="auto"/>
      </w:pPr>
      <w:r>
        <w:separator/>
      </w:r>
    </w:p>
  </w:footnote>
  <w:footnote w:type="continuationSeparator" w:id="0">
    <w:p w:rsidR="00B255D9" w:rsidRDefault="00B255D9" w:rsidP="00B25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D9"/>
    <w:rsid w:val="00B255D9"/>
    <w:rsid w:val="00CA208D"/>
    <w:rsid w:val="00DC0721"/>
    <w:rsid w:val="00DE764D"/>
    <w:rsid w:val="00DF1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C72EC-C2F2-4E0F-A6DC-9492D08D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5D9"/>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255D9"/>
    <w:pPr>
      <w:spacing w:after="0" w:line="240" w:lineRule="auto"/>
    </w:pPr>
    <w:rPr>
      <w:rFonts w:eastAsia="Times New Roman"/>
      <w:sz w:val="20"/>
      <w:szCs w:val="20"/>
    </w:rPr>
  </w:style>
  <w:style w:type="character" w:customStyle="1" w:styleId="a4">
    <w:name w:val="Текст сноски Знак"/>
    <w:basedOn w:val="a0"/>
    <w:link w:val="a3"/>
    <w:uiPriority w:val="99"/>
    <w:semiHidden/>
    <w:rsid w:val="00B255D9"/>
    <w:rPr>
      <w:rFonts w:ascii="Calibri" w:eastAsia="Times New Roman" w:hAnsi="Calibri" w:cs="Calibri"/>
      <w:sz w:val="20"/>
      <w:szCs w:val="20"/>
    </w:rPr>
  </w:style>
  <w:style w:type="character" w:styleId="a5">
    <w:name w:val="footnote reference"/>
    <w:uiPriority w:val="99"/>
    <w:semiHidden/>
    <w:unhideWhenUsed/>
    <w:rsid w:val="00B255D9"/>
    <w:rPr>
      <w:vertAlign w:val="superscript"/>
    </w:rPr>
  </w:style>
  <w:style w:type="character" w:customStyle="1" w:styleId="3">
    <w:name w:val="Основной текст (3)_"/>
    <w:link w:val="30"/>
    <w:rsid w:val="00B255D9"/>
    <w:rPr>
      <w:rFonts w:ascii="Times New Roman" w:eastAsia="Times New Roman" w:hAnsi="Times New Roman"/>
      <w:b/>
      <w:bCs/>
      <w:shd w:val="clear" w:color="auto" w:fill="FFFFFF"/>
    </w:rPr>
  </w:style>
  <w:style w:type="character" w:customStyle="1" w:styleId="2">
    <w:name w:val="Основной текст (2)"/>
    <w:rsid w:val="00B255D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rsid w:val="00B255D9"/>
    <w:pPr>
      <w:widowControl w:val="0"/>
      <w:shd w:val="clear" w:color="auto" w:fill="FFFFFF"/>
      <w:spacing w:after="0" w:line="277" w:lineRule="exact"/>
      <w:jc w:val="center"/>
    </w:pPr>
    <w:rPr>
      <w:rFonts w:ascii="Times New Roman" w:eastAsia="Times New Roman" w:hAnsi="Times New Roman" w:cstheme="minorBidi"/>
      <w:b/>
      <w:bCs/>
    </w:rPr>
  </w:style>
  <w:style w:type="paragraph" w:customStyle="1" w:styleId="ConsPlusNormal">
    <w:name w:val="ConsPlusNormal"/>
    <w:qFormat/>
    <w:rsid w:val="00B255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Елена Леонидовна</dc:creator>
  <cp:keywords/>
  <dc:description/>
  <cp:lastModifiedBy>Белякова Елена Леонидовна</cp:lastModifiedBy>
  <cp:revision>2</cp:revision>
  <dcterms:created xsi:type="dcterms:W3CDTF">2026-06-19T14:41:00Z</dcterms:created>
  <dcterms:modified xsi:type="dcterms:W3CDTF">2026-06-19T14:41:00Z</dcterms:modified>
</cp:coreProperties>
</file>